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1012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5505"/>
        <w:gridCol w:w="2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2950" w:type="dxa"/>
          </w:tcPr>
          <w:tbl>
            <w:tblPr>
              <w:tblStyle w:val="10"/>
              <w:tblW w:w="1139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52"/>
              <w:gridCol w:w="5695"/>
              <w:gridCol w:w="264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</w:trPr>
              <w:tc>
                <w:tcPr>
                  <w:tcW w:w="3052" w:type="dxa"/>
                  <w:shd w:val="clear" w:color="auto" w:fill="auto"/>
                </w:tcPr>
                <w:p>
                  <w:pPr>
                    <w:snapToGrid w:val="0"/>
                    <w:ind w:left="-540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bookmarkStart w:id="0" w:name="bookmark8"/>
                </w:p>
                <w:p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pict>
                      <v:shape id="_x0000_s2050" o:spid="_x0000_s2050" o:spt="75" type="#_x0000_t75" style="position:absolute;left:0pt;margin-left:-27.65pt;margin-top:5.4pt;height:25.35pt;width:113.15pt;mso-position-horizontal-relative:margin;z-index:-251658240;mso-width-relative:page;mso-height-relative:page;" o:ole="t" filled="t" o:preferrelative="t" stroked="f" coordsize="21600,21600">
                        <v:path/>
                        <v:fill on="t" color2="#000000" focussize="0,0"/>
                        <v:stroke on="f" joinstyle="miter"/>
                        <v:imagedata r:id="rId9" o:title=""/>
                        <o:lock v:ext="edit" aspectratio="t"/>
                      </v:shape>
                      <o:OLEObject Type="Embed" ProgID="Adobe" ShapeID="_x0000_s2050" DrawAspect="Content" ObjectID="_1468075725" r:id="rId8">
                        <o:LockedField>false</o:LockedField>
                      </o:OLEObject>
                    </w:pic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>
                  <w:pPr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Обособленное подразделение ООО «КЕСКО»</w:t>
                  </w: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в г. Санкт-Петербург</w:t>
                  </w: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_____________________________________________________</w:t>
                  </w:r>
                </w:p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190013, г. Санкт-Петербург, Клинский пр., д. 25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т. +7 (812) 622-03-62</w:t>
                  </w:r>
                </w:p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ф. +7 (812) 622-03-63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8" w:hRule="atLeast"/>
              </w:trPr>
              <w:tc>
                <w:tcPr>
                  <w:tcW w:w="3052" w:type="dxa"/>
                </w:tcPr>
                <w:p>
                  <w:pPr>
                    <w:pStyle w:val="2"/>
                    <w:rPr>
                      <w:b w:val="0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95" w:type="dxa"/>
                </w:tcPr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643" w:type="dxa"/>
                </w:tcPr>
                <w:p>
                  <w:pPr>
                    <w:rPr>
                      <w:b/>
                      <w:bCs/>
                      <w:i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ind w:left="-54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05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Обособленное подразделение ООО «КЕСКО»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 г.Санкт-Петербург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__________________________________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190013, г. Санкт-Петербург, Клинский пр., д. 25</w:t>
            </w:r>
          </w:p>
        </w:tc>
        <w:tc>
          <w:tcPr>
            <w:tcW w:w="2557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т. +7(812)6220362</w:t>
            </w:r>
          </w:p>
          <w:p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ф.+7(812)6220363</w:t>
            </w:r>
          </w:p>
        </w:tc>
      </w:tr>
      <w:bookmarkEnd w:id="0"/>
    </w:tbl>
    <w:p>
      <w:pP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ТЕХНИЧЕСКОЕ ЗАДАНИЕ</w:t>
      </w:r>
    </w:p>
    <w:p>
      <w:pPr>
        <w:jc w:val="center"/>
        <w:rPr>
          <w:rFonts w:ascii="Times New Roman" w:hAnsi="Times New Roman" w:cs="Times New Roman"/>
          <w:b/>
          <w:bCs/>
          <w:color w:val="333333"/>
        </w:rPr>
      </w:pPr>
    </w:p>
    <w:p>
      <w:pPr>
        <w:tabs>
          <w:tab w:val="left" w:pos="1418"/>
          <w:tab w:val="left" w:pos="1560"/>
          <w:tab w:val="left" w:pos="1985"/>
        </w:tabs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на выполнение работ по сохранению ОКН - усилению фундаментов зданий, попадающих в 30 метровую зону возможного влияния в рамках проекта строительства гостиницы (гостиничного комплекса) по адресу: Санкт-Петербург, Лиговский проспект, участок 1 (юго-восточнее дома 56, литера А по Лиговскому проспекту) кадастровый №78:31:0001521:7 </w:t>
      </w:r>
      <w:r>
        <w:rPr>
          <w:rFonts w:ascii="Times New Roman" w:hAnsi="Times New Roman" w:cs="Times New Roman"/>
        </w:rPr>
        <w:t>на период выполнения строительных работ</w:t>
      </w:r>
      <w:r>
        <w:rPr>
          <w:rFonts w:ascii="Times New Roman" w:hAnsi="Times New Roman" w:cs="Times New Roman"/>
          <w:color w:val="333333"/>
        </w:rPr>
        <w:t xml:space="preserve">. </w:t>
      </w:r>
    </w:p>
    <w:p>
      <w:pPr>
        <w:tabs>
          <w:tab w:val="left" w:pos="8938"/>
        </w:tabs>
        <w:ind w:firstLine="709"/>
        <w:jc w:val="both"/>
        <w:rPr>
          <w:rFonts w:ascii="Times New Roman" w:hAnsi="Times New Roman" w:cs="Times New Roman"/>
          <w:color w:val="333333"/>
        </w:rPr>
      </w:pPr>
    </w:p>
    <w:tbl>
      <w:tblPr>
        <w:tblStyle w:val="10"/>
        <w:tblW w:w="10686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022"/>
        <w:gridCol w:w="7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для </w:t>
            </w:r>
            <w:r>
              <w:rPr>
                <w:rFonts w:ascii="Times New Roman" w:hAnsi="Times New Roman" w:cs="Times New Roman"/>
                <w:lang w:val="en-US"/>
              </w:rPr>
              <w:t>ра</w:t>
            </w:r>
            <w:r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798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Договор, </w:t>
            </w:r>
          </w:p>
          <w:p>
            <w:pPr>
              <w:ind w:left="34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документация, разработанная ООО «Бюро экспертизы и совершенствования проектных решений»  (ООО «БЭ и СПР»)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Застройщик</w:t>
            </w:r>
          </w:p>
        </w:tc>
        <w:tc>
          <w:tcPr>
            <w:tcW w:w="7985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«Лиговский 54»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Заказчик</w:t>
            </w:r>
          </w:p>
        </w:tc>
        <w:tc>
          <w:tcPr>
            <w:tcW w:w="79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«КЕСКО»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Подрядчика,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</w:t>
            </w:r>
          </w:p>
        </w:tc>
        <w:tc>
          <w:tcPr>
            <w:tcW w:w="7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конкурсом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</w:p>
        </w:tc>
        <w:tc>
          <w:tcPr>
            <w:tcW w:w="7985" w:type="dxa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г. Санкт-Петербург, Центральный район,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 56, лит Е по Лиговскому пр.</w:t>
            </w:r>
          </w:p>
          <w:p>
            <w:pPr>
              <w:pStyle w:val="26"/>
              <w:numPr>
                <w:ilvl w:val="0"/>
                <w:numId w:val="0"/>
              </w:numPr>
              <w:ind w:leftChars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985" w:type="dxa"/>
          </w:tcPr>
          <w:p>
            <w:pPr>
              <w:pStyle w:val="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 сохранности исторических зданий, попадающих в зону риска техногенных факторов и непосредственно примыкающих к строительной площадке на период выполнения строительных работ.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Стадии выполнения работ</w:t>
            </w:r>
          </w:p>
        </w:tc>
        <w:tc>
          <w:tcPr>
            <w:tcW w:w="7985" w:type="dxa"/>
          </w:tcPr>
          <w:p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предполагает </w:t>
            </w:r>
            <w:r>
              <w:rPr>
                <w:rFonts w:ascii="Times New Roman" w:hAnsi="Times New Roman" w:cs="Times New Roman"/>
                <w:lang w:val="ru-RU"/>
              </w:rPr>
              <w:t>четыре</w:t>
            </w:r>
            <w:r>
              <w:rPr>
                <w:rFonts w:ascii="Times New Roman" w:hAnsi="Times New Roman" w:cs="Times New Roman"/>
              </w:rPr>
              <w:t xml:space="preserve"> стадии:</w:t>
            </w:r>
          </w:p>
          <w:p>
            <w:pPr>
              <w:pStyle w:val="3"/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ar-SA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ar-SA" w:bidi="ar-SA"/>
              </w:rPr>
              <w:t xml:space="preserve">Стадия 1 –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Угловое Бурение скважин в подошву фундамента Ø 93мм, на проектную глубину,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с последующим монтажом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колонн манжетных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труб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>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 63мм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, омоноличива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обойменным раствором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  (4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ar-SA" w:bidi="ar-SA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 точки)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400"/>
                <w:tab w:val="clear" w:pos="1276"/>
              </w:tabs>
              <w:spacing w:line="10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Стадия 2 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Монтаж в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olor w:val="000000"/>
                <w:spacing w:val="0"/>
                <w:sz w:val="24"/>
                <w:szCs w:val="24"/>
                <w:lang w:val="ru-RU"/>
              </w:rPr>
              <w:t>манжетные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колонны,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на нижний интервал двойной пакер (обтюратор)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с последующим нагнетанием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проектное количество инъекционного раствора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по зонам упрочнения грунта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>(42 точки)</w:t>
            </w:r>
          </w:p>
          <w:p>
            <w:pPr>
              <w:pStyle w:val="3"/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3 - Вертикальное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Бурение скважин в подошву фундамента Ø 93мм, на проектную глубину,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с последующим монтажом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колонн манжетных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труб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>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 63мм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, омоноличива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обойменным раствором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  (4 точки)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400"/>
                <w:tab w:val="clear" w:pos="1276"/>
              </w:tabs>
              <w:spacing w:line="10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 xml:space="preserve"> Вертикальный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Монтаж в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olor w:val="000000"/>
                <w:spacing w:val="0"/>
                <w:sz w:val="24"/>
                <w:szCs w:val="24"/>
                <w:lang w:val="ru-RU"/>
              </w:rPr>
              <w:t>манжетные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колонны,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на нижний интервал двойной пакер (обтюратор)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с последующим нагнетанием 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проектное количество инъекционного раствора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по зонам упрочнения грунта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>(4 точки)</w:t>
            </w:r>
          </w:p>
          <w:p>
            <w:pPr>
              <w:pStyle w:val="29"/>
              <w:numPr>
                <w:ilvl w:val="0"/>
                <w:numId w:val="0"/>
              </w:numPr>
              <w:tabs>
                <w:tab w:val="left" w:pos="400"/>
                <w:tab w:val="clear" w:pos="1276"/>
              </w:tabs>
              <w:spacing w:line="100" w:lineRule="atLeas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ar-SA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ar-SA" w:bidi="ar-S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  <w:t>Внутреннее усиление фундамента здания указывать с учетом подготовительных работ, в отдельной строке, на стадию 3; 4 (предварительно оговаривается с участниками конкурса)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выполнения работ</w:t>
            </w:r>
          </w:p>
        </w:tc>
        <w:tc>
          <w:tcPr>
            <w:tcW w:w="7985" w:type="dxa"/>
          </w:tcPr>
          <w:p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Определяются графиком выполнения работ</w:t>
            </w:r>
            <w:r>
              <w:rPr>
                <w:rFonts w:ascii="Times New Roman" w:hAnsi="Times New Roman" w:cs="Times New Roman"/>
                <w:lang w:val="ru-RU"/>
              </w:rPr>
              <w:t>, согласно разработанному ППР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lang w:val="ru-RU"/>
              </w:rPr>
              <w:t>усилению фундамента здания,</w:t>
            </w:r>
            <w:r>
              <w:rPr>
                <w:rFonts w:ascii="Times New Roman" w:hAnsi="Times New Roman" w:cs="Times New Roman"/>
              </w:rPr>
              <w:t xml:space="preserve"> во взаи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модействии с подрядчиком, выполняющим работы по нулевому циклу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7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Согласно пункту: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дание по адресу: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г.Санкт-Петербург Лиговский пр., д.56, литера 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Проектная документация: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конструкций фундаментов и стен южного флигеля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по адресу: г. Санкт-Петербург, Лиговский пр., д.56, литера Е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Конструктивные решения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комплект рабочих чертежей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№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17-0023</w:t>
            </w:r>
            <w:r>
              <w:rPr>
                <w:rFonts w:ascii="Times New Roman" w:hAnsi="Times New Roman" w:cs="Times New Roman"/>
              </w:rPr>
              <w:t>-КС</w:t>
            </w:r>
            <w:r>
              <w:rPr>
                <w:rFonts w:ascii="Times New Roman" w:hAnsi="Times New Roman" w:cs="Times New Roman"/>
                <w:lang w:val="ru-RU"/>
              </w:rPr>
              <w:t xml:space="preserve"> (Лист 2;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</w:tcPr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Дом №56, литера Е по Лиговскому</w:t>
            </w:r>
            <w:r>
              <w:rPr>
                <w:rFonts w:ascii="Times New Roman" w:hAnsi="Times New Roman" w:eastAsia="TimesNewRomanPSMT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проспекту высот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 xml:space="preserve">а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21,9 м.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По периметру здания выполнена асфальтобетонная отмостка не имеющая границ с прилегающей территорией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тротуаров и двора.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Год постройки здания – 1897.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По конструктивной схеме здание бескаркасное с несущими продольными и поперечными (в пределах лестничных клеток) стенами.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Фундаменты здания – на естественном основании, выполнены в виде лент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из бутовой кладки.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Стены здания толщиной 700 – 900 мм выполнены из красного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керамического кирпича, уложенного на известково-песчаном растворе. Фасады оштукатурены и окрашены. Цокольная часть стен фасадов облицована известняковым камнем на высоту до 0.2 м.</w:t>
            </w:r>
          </w:p>
          <w:p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Междуэтажные перекрытия – деревянные по металлическим балкам.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Здание по адресу: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г.Санкт-Петербург Лиговский пр., д.58, литера 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«Е»</w:t>
            </w:r>
            <w:r>
              <w:rPr>
                <w:rFonts w:ascii="Times New Roman" w:hAnsi="Times New Roman" w:cs="Times New Roman"/>
                <w:b/>
              </w:rPr>
              <w:t>, (ОКН)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bidi="ar-SA"/>
              </w:rPr>
              <w:t>Проектная документация: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>Усиление основания фундаментов южного флигеля здания по адресу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г. Санкт-Петербург, Лиговский пр., д.58, литера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 xml:space="preserve"> 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РАБОЧАЯ ДОКУМЕНТАЦИЯ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Конструктивные решения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Основной комплект рабочих чертежей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Шифр №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>3-15-17-0023-КС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5" w:type="dxa"/>
          </w:tcPr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Дом №58 литера </w:t>
            </w:r>
            <w:r>
              <w:rPr>
                <w:rFonts w:hint="default" w:ascii="Times New Roman" w:hAnsi="Times New Roman" w:eastAsia="Times New Roman" w:cs="Times New Roman"/>
                <w:color w:val="auto"/>
                <w:lang w:val="ru-RU" w:bidi="ar-SA"/>
              </w:rPr>
              <w:t>«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>Е</w:t>
            </w:r>
            <w:r>
              <w:rPr>
                <w:rFonts w:hint="default" w:ascii="Times New Roman" w:hAnsi="Times New Roman" w:eastAsia="Times New Roman" w:cs="Times New Roman"/>
                <w:color w:val="auto"/>
                <w:lang w:val="ru-RU" w:bidi="ar-SA"/>
              </w:rPr>
              <w:t>»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 расположен в Центральном районе Санкт-Петербурга в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квартале ограниченном Лиговским проспектом, путями Октябрьской железной дороги и Транспортным переулком.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 xml:space="preserve">Усиление основания фундаментов здания. Характеристики: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5 – этажное, прямоугольной формы, с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размерами в плане 43,9х16,4 м и высотой 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>21,9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 м, без подвала с холодным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вентилируемым чердаком. Высоты этажей переменные и составляют от 3,0 м до 3,3 м.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Конструктивная схема здания бескаркасная с несущими продольными и поперечными стенами. Его пространственная жёсткость обеспечивается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совместной работой кирпичных стен, перекрытий и лестничных клеток.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Фундаменты – ленточные, бутовые, на известково-песчаном растворе,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прямоугольной и трапециевидной формы. Ширина подошвы фундаментов</w:t>
            </w:r>
          </w:p>
          <w:p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составляет 1,2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>50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-1,4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>80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 м, глубина заложения – </w:t>
            </w:r>
            <w:r>
              <w:rPr>
                <w:rFonts w:ascii="Times New Roman" w:hAnsi="Times New Roman" w:eastAsia="Times New Roman" w:cs="Times New Roman"/>
                <w:color w:val="auto"/>
                <w:lang w:val="ru-RU" w:bidi="ar-SA"/>
              </w:rPr>
              <w:t>3,770 ; -  3,880</w:t>
            </w: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 м.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проекта __________________ Божеский Д.А.</w:t>
      </w:r>
    </w:p>
    <w:p>
      <w:pPr>
        <w:pStyle w:val="21"/>
        <w:keepNext/>
        <w:keepLines/>
        <w:shd w:val="clear" w:color="auto" w:fill="auto"/>
        <w:spacing w:before="0" w:after="240" w:line="260" w:lineRule="exact"/>
        <w:ind w:left="743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keepNext/>
        <w:keepLines/>
        <w:shd w:val="clear" w:color="auto" w:fill="auto"/>
        <w:spacing w:before="0" w:after="240" w:line="260" w:lineRule="exact"/>
        <w:ind w:left="743"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720" w:right="720" w:bottom="720" w:left="72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ngkok Cyr">
    <w:altName w:val="GENISO"/>
    <w:panose1 w:val="020B7200000000000000"/>
    <w:charset w:val="00"/>
    <w:family w:val="swiss"/>
    <w:pitch w:val="default"/>
    <w:sig w:usb0="00000000" w:usb1="00000000" w:usb2="00000000" w:usb3="00000000" w:csb0="00000005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8" o:spid="_x0000_s1028" o:spt="202" type="#_x0000_t202" style="position:absolute;left:0pt;margin-left:66.3pt;margin-top:787.8pt;height:26.15pt;width:461.3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7" o:spid="_x0000_s1027" o:spt="202" type="#_x0000_t202" style="position:absolute;left:0pt;margin-left:66.3pt;margin-top:787.8pt;height:26.15pt;width:461.3pt;mso-position-horizontal-relative:page;mso-position-vertical-relative:page;mso-wrap-style:non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r>
                  <w:rPr>
                    <w:rStyle w:val="16"/>
                    <w:rFonts w:eastAsia="Courier New"/>
                    <w:b w:val="0"/>
                    <w:bCs w:val="0"/>
                    <w:i w:val="0"/>
                    <w:iCs w:val="0"/>
                  </w:rPr>
                  <w:t>Заключение по геотехническому обоснованию проекта демонтажа зданий с учетом влиянии от их разборки, для планируемого</w:t>
                </w:r>
              </w:p>
              <w:p>
                <w:r>
                  <w:rPr>
                    <w:rStyle w:val="16"/>
                    <w:rFonts w:eastAsia="Courier New"/>
                    <w:b w:val="0"/>
                    <w:bCs w:val="0"/>
                    <w:i w:val="0"/>
                    <w:iCs w:val="0"/>
                  </w:rPr>
                  <w:t>строительства но адресу: СПб., Лиговский пр., д. 56, лит. А, В, Д на ОКН и исторические здания, попадающие в предварительно</w:t>
                </w:r>
              </w:p>
              <w:p>
                <w:r>
                  <w:rPr>
                    <w:rStyle w:val="16"/>
                    <w:rFonts w:eastAsia="Courier New"/>
                    <w:b w:val="0"/>
                    <w:bCs w:val="0"/>
                    <w:i w:val="0"/>
                    <w:iCs w:val="0"/>
                  </w:rPr>
                  <w:t>принятую 30-ти метровую зону риска от производства этих работ.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6" o:spid="_x0000_s1026" o:spt="202" type="#_x0000_t202" style="position:absolute;left:0pt;margin-left:276.5pt;margin-top:28.2pt;height:10.1pt;width:248.4pt;mso-position-horizontal-relative:page;mso-position-vertical-relative:page;z-index:-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right" w:pos="4968"/>
                  </w:tabs>
                  <w:rPr>
                    <w:lang w:val="en-US"/>
                  </w:rPr>
                </w:pPr>
              </w:p>
              <w:p>
                <w:pPr>
                  <w:tabs>
                    <w:tab w:val="right" w:pos="4968"/>
                  </w:tabs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5" o:spid="_x0000_s1025" o:spt="202" type="#_x0000_t202" style="position:absolute;left:0pt;margin-left:276.5pt;margin-top:28.2pt;height:10.1pt;width:248.4pt;mso-position-horizontal-relative:page;mso-position-vertical-relative:page;z-index:-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right" w:pos="4968"/>
                  </w:tabs>
                </w:pPr>
                <w:r>
                  <w:rPr>
                    <w:rStyle w:val="16"/>
                    <w:rFonts w:eastAsia="Courier New"/>
                    <w:b w:val="0"/>
                    <w:bCs w:val="0"/>
                    <w:i w:val="0"/>
                    <w:iCs w:val="0"/>
                  </w:rPr>
                  <w:t>=БЭСКИТ=</w:t>
                </w:r>
                <w:r>
                  <w:rPr>
                    <w:rStyle w:val="16"/>
                    <w:rFonts w:eastAsia="Courier New"/>
                    <w:b w:val="0"/>
                    <w:bCs w:val="0"/>
                    <w:i w:val="0"/>
                    <w:iCs w:val="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8"/>
                    <w:rFonts w:eastAsia="Courier New"/>
                  </w:rPr>
                  <w:t>2</w:t>
                </w:r>
                <w:r>
                  <w:rPr>
                    <w:rStyle w:val="18"/>
                    <w:rFonts w:eastAsia="Courier New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B6E09"/>
    <w:rsid w:val="00085B18"/>
    <w:rsid w:val="00135186"/>
    <w:rsid w:val="00152986"/>
    <w:rsid w:val="001576EC"/>
    <w:rsid w:val="001837BD"/>
    <w:rsid w:val="001B578B"/>
    <w:rsid w:val="001D1965"/>
    <w:rsid w:val="001F36D8"/>
    <w:rsid w:val="00257B3C"/>
    <w:rsid w:val="00272DFB"/>
    <w:rsid w:val="002A3C45"/>
    <w:rsid w:val="002E7292"/>
    <w:rsid w:val="00301ECD"/>
    <w:rsid w:val="00356077"/>
    <w:rsid w:val="00377A1B"/>
    <w:rsid w:val="003C601F"/>
    <w:rsid w:val="00483F8B"/>
    <w:rsid w:val="004F2AB2"/>
    <w:rsid w:val="005264E0"/>
    <w:rsid w:val="005F2D1C"/>
    <w:rsid w:val="00697C96"/>
    <w:rsid w:val="006F273C"/>
    <w:rsid w:val="00714D98"/>
    <w:rsid w:val="00732611"/>
    <w:rsid w:val="007D4C36"/>
    <w:rsid w:val="00812F5A"/>
    <w:rsid w:val="0086551D"/>
    <w:rsid w:val="008C74B8"/>
    <w:rsid w:val="00A22916"/>
    <w:rsid w:val="00A43432"/>
    <w:rsid w:val="00A4738A"/>
    <w:rsid w:val="00A55452"/>
    <w:rsid w:val="00AA498D"/>
    <w:rsid w:val="00AD50D3"/>
    <w:rsid w:val="00B458DA"/>
    <w:rsid w:val="00BD7A7E"/>
    <w:rsid w:val="00DD2DA9"/>
    <w:rsid w:val="00E24A43"/>
    <w:rsid w:val="00F8302F"/>
    <w:rsid w:val="00FB6E09"/>
    <w:rsid w:val="00FD2350"/>
    <w:rsid w:val="186A7291"/>
    <w:rsid w:val="24707B4C"/>
    <w:rsid w:val="4BDE387D"/>
    <w:rsid w:val="4F1568C2"/>
    <w:rsid w:val="59155B09"/>
    <w:rsid w:val="5BED511A"/>
    <w:rsid w:val="7E1A47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28"/>
    <w:qFormat/>
    <w:uiPriority w:val="0"/>
    <w:pPr>
      <w:keepNext/>
      <w:widowControl/>
      <w:jc w:val="center"/>
      <w:outlineLvl w:val="0"/>
    </w:pPr>
    <w:rPr>
      <w:rFonts w:ascii="Times New Roman" w:hAnsi="Times New Roman" w:eastAsia="Times New Roman" w:cs="Times New Roman"/>
      <w:b/>
      <w:color w:val="auto"/>
      <w:sz w:val="20"/>
      <w:szCs w:val="20"/>
      <w:lang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link w:val="23"/>
    <w:unhideWhenUsed/>
    <w:qFormat/>
    <w:uiPriority w:val="99"/>
    <w:pPr>
      <w:spacing w:after="120" w:line="480" w:lineRule="auto"/>
    </w:pPr>
  </w:style>
  <w:style w:type="paragraph" w:styleId="4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22"/>
    <w:unhideWhenUsed/>
    <w:qFormat/>
    <w:uiPriority w:val="99"/>
    <w:pPr>
      <w:spacing w:after="120"/>
    </w:pPr>
  </w:style>
  <w:style w:type="paragraph" w:styleId="6">
    <w:name w:val="Body Text Indent"/>
    <w:basedOn w:val="1"/>
    <w:link w:val="11"/>
    <w:semiHidden/>
    <w:qFormat/>
    <w:uiPriority w:val="0"/>
    <w:pPr>
      <w:widowControl/>
      <w:ind w:firstLine="709"/>
      <w:jc w:val="both"/>
    </w:pPr>
    <w:rPr>
      <w:rFonts w:ascii="Times New Roman" w:hAnsi="Times New Roman" w:eastAsia="Times New Roman" w:cs="Times New Roman"/>
      <w:color w:val="auto"/>
      <w:lang w:bidi="ar-SA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 3"/>
    <w:basedOn w:val="1"/>
    <w:link w:val="25"/>
    <w:semiHidden/>
    <w:qFormat/>
    <w:uiPriority w:val="0"/>
    <w:pPr>
      <w:widowControl/>
      <w:spacing w:after="120"/>
    </w:pPr>
    <w:rPr>
      <w:rFonts w:ascii="Times New Roman" w:hAnsi="Times New Roman" w:eastAsia="Times New Roman" w:cs="Times New Roman"/>
      <w:color w:val="auto"/>
      <w:sz w:val="16"/>
      <w:szCs w:val="16"/>
      <w:lang w:bidi="ar-SA"/>
    </w:rPr>
  </w:style>
  <w:style w:type="character" w:customStyle="1" w:styleId="11">
    <w:name w:val="Основной текст с отступом Знак"/>
    <w:basedOn w:val="9"/>
    <w:link w:val="6"/>
    <w:semiHidden/>
    <w:uiPriority w:val="0"/>
    <w:rPr>
      <w:sz w:val="24"/>
      <w:szCs w:val="24"/>
    </w:rPr>
  </w:style>
  <w:style w:type="character" w:customStyle="1" w:styleId="12">
    <w:name w:val="Основной текст_"/>
    <w:basedOn w:val="9"/>
    <w:link w:val="13"/>
    <w:qFormat/>
    <w:uiPriority w:val="0"/>
    <w:rPr>
      <w:sz w:val="26"/>
      <w:szCs w:val="26"/>
      <w:shd w:val="clear" w:color="auto" w:fill="FFFFFF"/>
    </w:rPr>
  </w:style>
  <w:style w:type="paragraph" w:customStyle="1" w:styleId="13">
    <w:name w:val="Основной текст3"/>
    <w:basedOn w:val="1"/>
    <w:link w:val="12"/>
    <w:qFormat/>
    <w:uiPriority w:val="0"/>
    <w:pPr>
      <w:shd w:val="clear" w:color="auto" w:fill="FFFFFF"/>
      <w:spacing w:before="300" w:line="480" w:lineRule="exact"/>
      <w:ind w:hanging="360"/>
      <w:jc w:val="both"/>
    </w:pPr>
    <w:rPr>
      <w:rFonts w:ascii="Times New Roman" w:hAnsi="Times New Roman" w:eastAsia="Times New Roman" w:cs="Times New Roman"/>
      <w:color w:val="auto"/>
      <w:sz w:val="26"/>
      <w:szCs w:val="26"/>
      <w:lang w:bidi="ar-SA"/>
    </w:rPr>
  </w:style>
  <w:style w:type="character" w:customStyle="1" w:styleId="14">
    <w:name w:val="Нижний колонтитул Знак"/>
    <w:basedOn w:val="9"/>
    <w:link w:val="7"/>
    <w:semiHidden/>
    <w:qFormat/>
    <w:uiPriority w:val="99"/>
    <w:rPr>
      <w:rFonts w:ascii="Courier New" w:hAnsi="Courier New" w:eastAsia="Courier New" w:cs="Courier New"/>
      <w:color w:val="000000"/>
      <w:sz w:val="24"/>
      <w:szCs w:val="24"/>
      <w:lang w:bidi="ru-RU"/>
    </w:rPr>
  </w:style>
  <w:style w:type="character" w:customStyle="1" w:styleId="15">
    <w:name w:val="Колонтитул_"/>
    <w:basedOn w:val="9"/>
    <w:qFormat/>
    <w:uiPriority w:val="0"/>
    <w:rPr>
      <w:rFonts w:ascii="Times New Roman" w:hAnsi="Times New Roman" w:eastAsia="Times New Roman" w:cs="Times New Roman"/>
      <w:b/>
      <w:bCs/>
      <w:i/>
      <w:iCs/>
      <w:sz w:val="13"/>
      <w:szCs w:val="13"/>
      <w:u w:val="none"/>
    </w:rPr>
  </w:style>
  <w:style w:type="character" w:customStyle="1" w:styleId="16">
    <w:name w:val="Колонтитул"/>
    <w:basedOn w:val="15"/>
    <w:qFormat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Верхний колонтитул Знак"/>
    <w:basedOn w:val="9"/>
    <w:link w:val="4"/>
    <w:semiHidden/>
    <w:qFormat/>
    <w:uiPriority w:val="99"/>
    <w:rPr>
      <w:rFonts w:ascii="Courier New" w:hAnsi="Courier New" w:eastAsia="Courier New" w:cs="Courier New"/>
      <w:color w:val="000000"/>
      <w:sz w:val="24"/>
      <w:szCs w:val="24"/>
      <w:lang w:bidi="ru-RU"/>
    </w:rPr>
  </w:style>
  <w:style w:type="character" w:customStyle="1" w:styleId="18">
    <w:name w:val="Колонтитул + 11;5 pt;Не полужирный;Не курсив"/>
    <w:basedOn w:val="15"/>
    <w:qFormat/>
    <w:uiPriority w:val="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9">
    <w:name w:val="Основной текст1"/>
    <w:basedOn w:val="12"/>
    <w:qFormat/>
    <w:uiPriority w:val="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Заголовок №4_"/>
    <w:basedOn w:val="9"/>
    <w:link w:val="21"/>
    <w:qFormat/>
    <w:uiPriority w:val="0"/>
    <w:rPr>
      <w:rFonts w:ascii="Arial" w:hAnsi="Arial" w:eastAsia="Arial" w:cs="Arial"/>
      <w:b/>
      <w:bCs/>
      <w:sz w:val="26"/>
      <w:szCs w:val="26"/>
      <w:shd w:val="clear" w:color="auto" w:fill="FFFFFF"/>
    </w:rPr>
  </w:style>
  <w:style w:type="paragraph" w:customStyle="1" w:styleId="21">
    <w:name w:val="Заголовок №4"/>
    <w:basedOn w:val="1"/>
    <w:link w:val="20"/>
    <w:qFormat/>
    <w:uiPriority w:val="0"/>
    <w:pPr>
      <w:shd w:val="clear" w:color="auto" w:fill="FFFFFF"/>
      <w:spacing w:before="180" w:line="485" w:lineRule="exact"/>
      <w:outlineLvl w:val="3"/>
    </w:pPr>
    <w:rPr>
      <w:rFonts w:ascii="Arial" w:hAnsi="Arial" w:eastAsia="Arial" w:cs="Arial"/>
      <w:b/>
      <w:bCs/>
      <w:color w:val="auto"/>
      <w:sz w:val="26"/>
      <w:szCs w:val="26"/>
      <w:lang w:bidi="ar-SA"/>
    </w:rPr>
  </w:style>
  <w:style w:type="character" w:customStyle="1" w:styleId="22">
    <w:name w:val="Основной текст Знак"/>
    <w:basedOn w:val="9"/>
    <w:link w:val="5"/>
    <w:semiHidden/>
    <w:qFormat/>
    <w:uiPriority w:val="99"/>
    <w:rPr>
      <w:rFonts w:ascii="Courier New" w:hAnsi="Courier New" w:eastAsia="Courier New" w:cs="Courier New"/>
      <w:color w:val="000000"/>
      <w:sz w:val="24"/>
      <w:szCs w:val="24"/>
      <w:lang w:bidi="ru-RU"/>
    </w:rPr>
  </w:style>
  <w:style w:type="character" w:customStyle="1" w:styleId="23">
    <w:name w:val="Основной текст 2 Знак"/>
    <w:basedOn w:val="9"/>
    <w:link w:val="3"/>
    <w:qFormat/>
    <w:uiPriority w:val="99"/>
    <w:rPr>
      <w:rFonts w:ascii="Courier New" w:hAnsi="Courier New" w:eastAsia="Courier New" w:cs="Courier New"/>
      <w:color w:val="000000"/>
      <w:sz w:val="24"/>
      <w:szCs w:val="24"/>
      <w:lang w:bidi="ru-RU"/>
    </w:rPr>
  </w:style>
  <w:style w:type="paragraph" w:customStyle="1" w:styleId="24">
    <w:name w:val="Без интервала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5">
    <w:name w:val="Основной текст 3 Знак"/>
    <w:basedOn w:val="9"/>
    <w:link w:val="8"/>
    <w:semiHidden/>
    <w:qFormat/>
    <w:uiPriority w:val="0"/>
    <w:rPr>
      <w:sz w:val="16"/>
      <w:szCs w:val="16"/>
    </w:rPr>
  </w:style>
  <w:style w:type="paragraph" w:customStyle="1" w:styleId="26">
    <w:name w:val="List Paragraph"/>
    <w:basedOn w:val="1"/>
    <w:link w:val="27"/>
    <w:qFormat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sz w:val="20"/>
      <w:szCs w:val="20"/>
      <w:lang w:bidi="ar-SA"/>
    </w:rPr>
  </w:style>
  <w:style w:type="character" w:customStyle="1" w:styleId="27">
    <w:name w:val="Абзац списка Знак"/>
    <w:link w:val="26"/>
    <w:qFormat/>
    <w:locked/>
    <w:uiPriority w:val="99"/>
    <w:rPr>
      <w:rFonts w:eastAsia="Calibri"/>
    </w:rPr>
  </w:style>
  <w:style w:type="character" w:customStyle="1" w:styleId="28">
    <w:name w:val="Заголовок 1 Знак"/>
    <w:basedOn w:val="9"/>
    <w:link w:val="2"/>
    <w:qFormat/>
    <w:uiPriority w:val="0"/>
    <w:rPr>
      <w:b/>
    </w:rPr>
  </w:style>
  <w:style w:type="paragraph" w:customStyle="1" w:styleId="29">
    <w:name w:val="Основной текст 31"/>
    <w:basedOn w:val="1"/>
    <w:qFormat/>
    <w:uiPriority w:val="0"/>
    <w:pPr>
      <w:shd w:val="clear" w:color="auto" w:fill="FFFFFF"/>
      <w:tabs>
        <w:tab w:val="left" w:pos="1276"/>
      </w:tabs>
      <w:spacing w:line="259" w:lineRule="exact"/>
      <w:jc w:val="both"/>
    </w:pPr>
    <w:rPr>
      <w:rFonts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8"/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Klinsky 25</Company>
  <Pages>2</Pages>
  <Words>508</Words>
  <Characters>3583</Characters>
  <Lines>29</Lines>
  <Paragraphs>8</Paragraphs>
  <ScaleCrop>false</ScaleCrop>
  <LinksUpToDate>false</LinksUpToDate>
  <CharactersWithSpaces>4083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2017-09-25T13:58:00Z</dcterms:created>
  <dc:creator>Barvin Oleg</dc:creator>
  <cp:lastModifiedBy>Kovalev Vadim</cp:lastModifiedBy>
  <dcterms:modified xsi:type="dcterms:W3CDTF">2018-03-05T11:16:31Z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