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ind w:left="-142" w:hanging="0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Техническое задание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выполнение комплекса работ по устройству свай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ного</w:t>
      </w:r>
      <w:r>
        <w:rPr>
          <w:rFonts w:ascii="Times New Roman" w:hAnsi="Times New Roman"/>
          <w:b/>
          <w:bCs/>
          <w:sz w:val="24"/>
          <w:szCs w:val="24"/>
        </w:rPr>
        <w:t xml:space="preserve"> основания фундаментов в рамках строительства Объекта: «Реконструкция производственных корпусов бывшей табачной фабрики «Нево–Табак» с целью приспособления для современного использования (многоквартирный жилой комплекс «Олимпия») на земельном участке с кадастровым номером 78:32:0001635:17 по адресу: г.Санкт-Петербург, Клинский проспект, дом 25, лит. А»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16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834"/>
        <w:gridCol w:w="6203"/>
      </w:tblGrid>
      <w:tr>
        <w:trPr/>
        <w:tc>
          <w:tcPr>
            <w:tcW w:w="53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kern w:val="0"/>
                <w:sz w:val="20"/>
              </w:rPr>
              <w:t>Наименование объекта</w:t>
            </w:r>
          </w:p>
        </w:tc>
        <w:tc>
          <w:tcPr>
            <w:tcW w:w="6203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  <w:lang w:val="en-US"/>
              </w:rPr>
              <w:t xml:space="preserve">Жилой комплекс </w:t>
            </w:r>
            <w:r>
              <w:rPr>
                <w:kern w:val="0"/>
                <w:sz w:val="20"/>
              </w:rPr>
              <w:t>«Олимпия»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kern w:val="0"/>
                <w:sz w:val="20"/>
              </w:rPr>
              <w:t>Район, пункт проведения работ</w:t>
            </w:r>
          </w:p>
        </w:tc>
        <w:tc>
          <w:tcPr>
            <w:tcW w:w="6203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kern w:val="0"/>
                <w:sz w:val="20"/>
              </w:rPr>
              <w:t>г. Санкт-Петербург, Клинский проспект, дом 25, лит. А.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3.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kern w:val="0"/>
                <w:sz w:val="20"/>
              </w:rPr>
              <w:t>Краткое описание объекта</w:t>
            </w:r>
          </w:p>
        </w:tc>
        <w:tc>
          <w:tcPr>
            <w:tcW w:w="6203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Жилой дом со встроенными помещениями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4.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0"/>
              </w:rPr>
              <w:t>Застройщик</w:t>
            </w:r>
          </w:p>
        </w:tc>
        <w:tc>
          <w:tcPr>
            <w:tcW w:w="6203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ООО «Клинский 25»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5.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0"/>
              </w:rPr>
              <w:t>Технический заказчик/Генподрядчик</w:t>
            </w:r>
          </w:p>
        </w:tc>
        <w:tc>
          <w:tcPr>
            <w:tcW w:w="6203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ООО "КЕСКО"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6.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0"/>
              </w:rPr>
              <w:t>Основание для проведения работ</w:t>
            </w:r>
          </w:p>
        </w:tc>
        <w:tc>
          <w:tcPr>
            <w:tcW w:w="6203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Договор Субподряда.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7.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kern w:val="0"/>
                <w:sz w:val="20"/>
              </w:rPr>
              <w:t>Сроки выполнения работ</w:t>
            </w:r>
          </w:p>
        </w:tc>
        <w:tc>
          <w:tcPr>
            <w:tcW w:w="62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  <w:lang w:val="en-US"/>
              </w:rPr>
              <w:t xml:space="preserve">25.07.2022 - 10.09.2022 </w:t>
            </w:r>
            <w:r>
              <w:rPr>
                <w:kern w:val="0"/>
                <w:sz w:val="20"/>
              </w:rPr>
              <w:t>г.</w:t>
            </w:r>
          </w:p>
        </w:tc>
      </w:tr>
      <w:tr>
        <w:trPr>
          <w:trHeight w:val="90" w:hRule="atLeast"/>
        </w:trPr>
        <w:tc>
          <w:tcPr>
            <w:tcW w:w="53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8.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kern w:val="0"/>
                <w:sz w:val="20"/>
              </w:rPr>
              <w:t>Перечень и объем выполняемых работ</w:t>
            </w:r>
          </w:p>
        </w:tc>
        <w:tc>
          <w:tcPr>
            <w:tcW w:w="620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1. Работы выполняются в соответствии с требованиями действующих строительных норм и правил, правил ТБ и других документов регулирующих строительство объектов;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2. Вопросы взаимодействия Генподрядчика и Подрядчика регулируются договором на выполнение работ и законодательством РФ;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3. Подрядчик проводит весь комплекс необходимых работ согласно переданного проекта  и согласно настоящему Техническому заданию;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4. Подрядчик поставляет материалы в количестве и номенклатуре по согласованию с Генподрядчиком.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sz w:val="20"/>
              </w:rPr>
              <w:t>Объем работ определяется Рабочей документацией: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lang w:val="ru-RU"/>
              </w:rPr>
            </w:pPr>
            <w:r>
              <w:rPr>
                <w:b/>
                <w:bCs/>
                <w:kern w:val="0"/>
                <w:sz w:val="20"/>
              </w:rPr>
              <w:t>- 0416 - Том 4.2 КР</w:t>
            </w:r>
            <w:r>
              <w:rPr>
                <w:kern w:val="0"/>
                <w:sz w:val="20"/>
              </w:rPr>
              <w:t xml:space="preserve"> </w:t>
            </w:r>
            <w:r>
              <w:rPr>
                <w:b/>
                <w:bCs/>
                <w:kern w:val="0"/>
                <w:sz w:val="20"/>
              </w:rPr>
              <w:t>книга2</w:t>
            </w:r>
            <w:r>
              <w:rPr>
                <w:kern w:val="0"/>
                <w:sz w:val="20"/>
              </w:rPr>
              <w:t xml:space="preserve"> - «Конструктивные решения здания в осях: "1-4"/"Б-Е"»</w:t>
            </w:r>
            <w:r>
              <w:rPr>
                <w:kern w:val="0"/>
                <w:sz w:val="20"/>
                <w:lang w:val="en-US"/>
              </w:rPr>
              <w:t xml:space="preserve"> листы </w:t>
            </w:r>
            <w:r>
              <w:rPr>
                <w:kern w:val="0"/>
                <w:sz w:val="20"/>
                <w:lang w:val="ru-RU"/>
              </w:rPr>
              <w:t>«</w:t>
            </w:r>
            <w:r>
              <w:rPr>
                <w:kern w:val="0"/>
                <w:sz w:val="20"/>
                <w:lang w:val="en-US"/>
              </w:rPr>
              <w:t>ГЧ</w:t>
            </w:r>
            <w:r>
              <w:rPr>
                <w:kern w:val="0"/>
                <w:sz w:val="20"/>
                <w:lang w:val="ru-RU"/>
              </w:rPr>
              <w:t>»</w:t>
            </w:r>
            <w:r>
              <w:rPr>
                <w:kern w:val="0"/>
                <w:sz w:val="20"/>
                <w:lang w:val="en-US"/>
              </w:rPr>
              <w:t xml:space="preserve"> 1-</w:t>
            </w:r>
            <w:r>
              <w:rPr>
                <w:kern w:val="0"/>
                <w:sz w:val="20"/>
                <w:lang w:val="ru-RU"/>
              </w:rPr>
              <w:t>3: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lang w:val="ru-RU"/>
              </w:rPr>
            </w:pPr>
            <w:r>
              <w:rPr>
                <w:kern w:val="0"/>
                <w:sz w:val="20"/>
                <w:lang w:val="ru-RU"/>
              </w:rPr>
              <w:t>- Ведомость чертежей комплекта КР. Ведомость спецификаций;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lang w:val="ru-RU"/>
              </w:rPr>
            </w:pPr>
            <w:r>
              <w:rPr>
                <w:kern w:val="0"/>
                <w:sz w:val="20"/>
                <w:lang w:val="ru-RU"/>
              </w:rPr>
              <w:t>- Схема расположения свайного поля в/о "3-4/Б/1'-Е". Схема расположения свайного поля в/о "1-2/Б'-Г";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lang w:val="ru-RU"/>
              </w:rPr>
            </w:pPr>
            <w:r>
              <w:rPr>
                <w:kern w:val="0"/>
                <w:sz w:val="20"/>
                <w:lang w:val="ru-RU"/>
              </w:rPr>
              <w:t>- Свая СБН-350-23. Армирование.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sz w:val="20"/>
              </w:rPr>
              <w:t>Работы по устройству  свайного основания, БНС Ø350мм методом непрерывно перемещающегося шнека.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Работы по устройству свайного основания должны выполняться в соответствии с согласованной Заказчиком РД и ППР, согласно требованиям СП 24.13330.2011, ГОСТ 19912-2012, СП 63.13330.2012, ГОСТ 10922–2012, СП 49.13330, ГОСТ 12.0.004-2015, ГОСТ 12.1.003-2014, ГОСТ 12.4.087, ГОСТ 23407, с учетом положений СП 12-136-2002, СанПиН2.2.3.1384-03;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Наружный диаметр бетонолитной трубы может быть в пределах от 159 до 250 мм. Трубы должны быть секционными с быстроразъемной конструкцией стыков, обеспечивающих герметичность соединений;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3. Бетонная смесь, изготовленная на бетонных заводах для сооружения буронабивных свай должна соответствовать ГОСТ 7473, ГОСТ 10181 и требованиям рабочей документации и ППР.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4. Арматурная сталь для армирования буронабивных свай должна соответствовать рабочей документации, ППР и требованиям ГОСТ 5781, ГОСТ 6996, ГОСТ 10922, ГОСТ 14098, а также СП 35.13330 (раздел 7) и СП 46.13330 (раздел 7).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5. Поступающие на стройплощадку арматурные каркасы буронабивных свай должны по конструкции и размерам строго соответствовать рабочей документации;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6. При транспортировке и хранении на строительной площадке арматурных каркасов буронабивных свай должна быть исключена возможность их повреждения. Нижние ряды каркасов должны складироваться на подкладках, остальные –на прокладках;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7. До начала основных работ по устройству свайного фундамента необходимо подготовить строительную площадку в соответствии с ППР согласно требованиям строительных норм РФ;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8. При устройстве фундаментов из буронабивных свай должны быть в соответствии с ППР выполнены следующие дополнительные меры: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- геодезическая разбивка свайного основания в натуре; разметку свайного поля в плане и по высоте производить по геодезической основе с закреплением на местности положения осей всех рядов свайных элементов в соответствии с проектом;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- подготовить строительную площадку под буровое оборудование;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- организовать отвод воды от промывки бетонолитных труб и оборудования;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- определить места для временных отвалов вырабатываемого грунта и организовать вывоз грунта для обеспечения дальнейшего фронта работ;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9. Устанавливаемый в скважину арматурный каркас должен соответствовать рабочим чертежам, иметь паспорт и быть принят представителем Заказчика. Тип и конструкция монтажных стыков между секциями разработать в ППР и согласовать  с проектной организацией;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10. Перед началом монтажа арматурного каркаса необходимо очистить арматуру от масла и грунта;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11. Способы строповки, подъема, перемещения и опускания каркаса в скважину определить в ППР. Эти способы должны исключать возможность появления остаточных деформаций каркаса или отдельных его стержней. Опускание каркаса производят в положении, обеспечивающем его свободное прохождение в скважину.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12. Перед установкой арматурного каркаса скважина должна быть освидетельствована и принята по акту;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13. Заполнение скважин бетонной смесью в соответствии с требованиями СП 45.13330, в неустойчивых грунтах- по ГОСТ 25100 следует начинать не позднее чем через 8 часов после окончания бурения, а в устойчивых грунтах – не позднее чем через 24 часа. При более длительном перерыве необходимо произвести зачистку забоя ковшебуром перед установкой арматурного каркаса.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14. Бетонирование буронабивной сваи следует проводить с помощью бетонолитной трубы. Укладку бетонной смеси в скважину проводить на всю глубину без перерывов (в один этап). Уровень столба бетонной смеси на каждом этапе должен быть таким, чтобы уложенный бетон не начал схватываться до подъема бетонолитной трубы;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15. Суммарное время доставки бетонной смеси на место укладки ее в скважину, извлечения бетонолитных труб не должно превышать сроки ее схватывания, устанавливаемые строительной лабораторией по результатам испытаний опытных образцов по ГОСТ 10180 и ГОСТ 10181;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16. При расположении верха буронабивной сваи в грунте бетонирование ведут до отметки на 0,8 м выше проектного положения из расчета всплывания шламового бетона, который должен быть удален;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17. Выполнить комплекс работ по устройству опытных (испытуемых) и анкерных свай основания, в том числе бурение, армирование и бетонирование свай, утилизация извлекаемого грунта, подготовка опытных свай для проведения статических испытаний;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18. Проведение 2-х испытаний свай статической нагрузкой по ГОСТ 5686 для определения фактической несущей способности, включая полный комплекс подготовительных и полевых работ; Контрольные испытания 2-х свай статической вдавливающей нагрузкой. Все тестовые, а также анкерные сваи определяются проектной документацией из числа рабочих свай свайного поля (дополнительные сваи не предусмотрены);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19. Выполнить испытания образцов бетона, на одноосное сжатие, контроль длины свай и оценка сплошности их стволов с использованием сейсмоакустических испытаний - 20% общего числа свай;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20. Бетонная смесь согласно должна проходить входной контроль в соответствии с ППР. Входной контроль изделий и материалов осуществлять в соответствии с требованиями ППР.  Результаты входного контроля оформлять актами;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21. При определении допустимых отклонений при устройстве свайного фундамента руководствоваться  СП 45.13330 (таблица 12.1 и приложение С). Измерения отклонения положения свай от проекта в плане выполнять геодезическими методами в соответствии с СП 126.13330 (разделы 5, 6). Измерения отклонения свай по глубине следует выполнять после завершения бурения скважин с помощью отвеса с делениями;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22. Оценка соответствия выполненных работ при устройстве свайных фундаментов производить на основании: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- проектной документации;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- паспортов заводов-изготовителей на товарный бетон и арматурные каркасы;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- актов лабораторных испытаний контрольных бетонных образцов;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- актов геодезической разбивки осей фундаментов;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- исполнительных схем фактического расположения свай с указанием их отклонений в плане и по высоте;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- общих журналов работ, специальных журналов и сводных ведомостей;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- журналов результатов статических испытаний свай на несущую способность по грунту;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- отчётов о контроле сплошности бетона свай.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- контрольные кубики должны быть испытаны в 7-и и 28-и дневном возрасте по ГОСТ 10180.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sz w:val="20"/>
              </w:rPr>
              <w:t>В стоимость работ входит: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sz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1. Расходы на мобилизацию, доставка, монтаж, демонтаж временных конструкций и сооружений, временное электроснабжение, временное водоснабжение, мойка колес, уборка и содержание строительной площадки и пр.;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2. Расходы на предварительные работы (геодезия, макеты, испытания и пр.).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3. Стоимость полного комплекса работ по устройству свайного основания БНС Ø350 мм. с учетом всех основных и вспомогательных затрат, необходимых для производства работ, в том числе: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- стоимость трудозатрат;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- стоимость основных и вспомогательных  материалов, оборудования и конструкций с учетом всех комплектующих, фурнитуры, закладных и вспомогательных элементов, необходимых для выполнения полного комплекса работ согласно Проектной документации, ППР и Технического задания;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- стоимость эксплуатации инструментов,  машин и механизмов;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- стоимость устройства/монтажа и испытания всех конструкций;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- накладные расходы, плановые накопления и другие лимитированные затраты, а также все необходимые отчисления и налоги, применяемые на территории Российской Федерации и г. Санкт-Петербурга, включая НДС 20%;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4. Расходы, связанные с изготовлением, транспортировкой, упаковкой и хранением материалов, конструкций и оборудования.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5. Стоимость разработки проектов, технологических карт (ТК), проектов производства работ (ППР), а также реализации всех мероприятий, отраженных и согласованных Техническим Заказчиком в технологических картах и ППР, в том числе охрана труда и техника безопасности;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6. Стоимость устройства необходимых защитных и вспомогательных конструкций для производства работ.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7. Расходы на временное электро- и водоснабжение от точек подключения, предоставляемых Заказчиком, в границах строительной площадки и на всех участках, необходимых для производства работ;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8. Расходы на мероприятия по водоотведению в границах строительной площадки и на всех Участках (при необходимости);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9. Расходы по обеспечению защиты смонтированных конструкций;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10. Расходы, связанные с получением соответствующих заключений/свидетельств по всем испытаниям, проводимым в ходе производства и сдачи работ;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11. Расходы на очистку (уборку) территории строительства;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12. Уборка мусора (бытовые отходы и строительный мусор) в места складирования, с последующим вывозом и размещением мусора на специализированных полигонах, с предоставлением подтверждающих документов (актов и ТТН) согласно разделу 0416- ООС, отходы 5 класса опасности;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13. Расходы на разработку и согласование исполнительной документации.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14. Затраты на получение гарантий по авансовому платежу и гарантийному удержанию, а так же затраты вызванные удорожанием топлива и основных материалов (металлопрокат, бетон, бентонит и т.д.) в период производства работ;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15. Срубка оголовков опытных свай для проведения статических испытаний;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Во избежание сомнений, работы, прямо не поименованные в Ведомости объемов работ и стоимостей, но предусмотренные Техническим заданием, а также иными документами Договора, считаются включенными в объем работ Подрядчика.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9.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kern w:val="0"/>
                <w:sz w:val="20"/>
              </w:rPr>
              <w:t>Требования к наличию опыта производства работ</w:t>
            </w:r>
          </w:p>
        </w:tc>
        <w:tc>
          <w:tcPr>
            <w:tcW w:w="620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Наличие референций по выполнению СМР, указанных в п.1 настоящего технического задания.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10.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kern w:val="0"/>
                <w:sz w:val="20"/>
              </w:rPr>
              <w:t>Требования к наличию материально-технических ресурсов (МТР)</w:t>
            </w:r>
          </w:p>
        </w:tc>
        <w:tc>
          <w:tcPr>
            <w:tcW w:w="620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Подрядчик должен иметь достаточное для исполнения договора в исправном состоянии количество МТР (машин и механизмов, специальных приспособлений и инструментов) для выполнения работ указанных в пункте 8. настоящего технического задания.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11.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kern w:val="0"/>
                <w:sz w:val="20"/>
              </w:rPr>
              <w:t>Требование к обеспечению кадровыми ресурсами</w:t>
            </w:r>
          </w:p>
        </w:tc>
        <w:tc>
          <w:tcPr>
            <w:tcW w:w="620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Подрядчик должен иметь достаточное для исполнения договора количество кадровых ресурсов соответствующей квалификации.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12.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kern w:val="0"/>
                <w:sz w:val="20"/>
              </w:rPr>
              <w:t>Требования к подрядчику</w:t>
            </w:r>
          </w:p>
        </w:tc>
        <w:tc>
          <w:tcPr>
            <w:tcW w:w="620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-Подрядчик подтверждает, что переданной документации и проведённых, до заключения договора, геодезических замеров, проведённых службой подрядчика, достаточно для окончательного определения объёмов  и расчёта общей стоимости работ.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-Каждый вид работ, предусмотренный настоящим Договором должен быть завершён полностью, если в ходе исполнения договора Подрядчиком будет предъявлен к оплате больший объём работы, чем это предусмотрено настоящим договором, по причине превышения объёмов относится полностью за счёт Подрядчика.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-Подрядчик подтверждает наличие опыта выполнения работ, указанных в пункте 8 настоящего ТЗ  не менее 3-х лет.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-Подрядчик подтверждает наличие членства СРО для выполнения вышеуказанных работ.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440" w:right="-2" w:hanging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Подрядчик обязан выполнять работы в соответствии с: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spacing w:lineRule="auto" w:line="240" w:before="0" w:after="0"/>
              <w:ind w:left="420" w:right="-2" w:hanging="42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Проектной и рабочей документацией;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spacing w:lineRule="auto" w:line="240" w:before="0" w:after="0"/>
              <w:ind w:left="420" w:right="-2" w:hanging="42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Разработанным графиком производства работ, согласованным с Генподрядчиком;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spacing w:lineRule="auto" w:line="240" w:before="0" w:after="0"/>
              <w:ind w:left="420" w:right="-2" w:hanging="42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ППР и технологическими картами;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480" w:leader="none"/>
              </w:tabs>
              <w:bidi w:val="0"/>
              <w:spacing w:lineRule="auto" w:line="240" w:before="0" w:after="0"/>
              <w:ind w:left="440" w:hanging="44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ТУ и СТО заводов изготовителей материалов, конструкций, изделий и т.д.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13.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kern w:val="0"/>
                <w:sz w:val="20"/>
              </w:rPr>
              <w:t>Требования к содержанию площадки</w:t>
            </w:r>
          </w:p>
        </w:tc>
        <w:tc>
          <w:tcPr>
            <w:tcW w:w="620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-Подрядчик обязан содержать площадку в чистоте.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-Генподрядчик обеспечивает наличие на объекте ВРУ для подключения электроинструмента и оборудования Подрядчика</w:t>
            </w:r>
            <w:bookmarkStart w:id="0" w:name="_GoBack"/>
            <w:bookmarkEnd w:id="0"/>
            <w:r>
              <w:rPr>
                <w:kern w:val="0"/>
                <w:sz w:val="20"/>
                <w:lang w:val="ru-RU"/>
              </w:rPr>
              <w:t xml:space="preserve"> и точку подключения к водоснабжению</w:t>
            </w:r>
            <w:r>
              <w:rPr>
                <w:kern w:val="0"/>
                <w:sz w:val="20"/>
              </w:rPr>
              <w:t>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-Подрядчик организует при необходимости дополнительное освещение собственными силами.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14.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kern w:val="0"/>
                <w:sz w:val="20"/>
              </w:rPr>
              <w:t>Требование к технике безопасности</w:t>
            </w:r>
          </w:p>
        </w:tc>
        <w:tc>
          <w:tcPr>
            <w:tcW w:w="620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Соблюдение требований безопасности лежит в полном объёме на подрядчике.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15.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kern w:val="0"/>
                <w:sz w:val="20"/>
              </w:rPr>
              <w:t>Требования к исполнительной документации на объекте</w:t>
            </w:r>
          </w:p>
        </w:tc>
        <w:tc>
          <w:tcPr>
            <w:tcW w:w="620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1. Исполнительную документацию выполнить в необходимом объёме, в соответствии с действующим законодательством в строительстве на территории Российской Федерации, на основании требований РД 11-02-2006, РД 11-05-2007, приказ Ростехнадзора № 1128 от 26.12.2006 г. и передать Генподрядчику по окончании СМР;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2. На оборудования, материалы, изделия и конструкции импортного производства кроме паспортов и сертификатов качества предоставить сертификаты соответствия для применения на территории Российской Федерации;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3. На все оборудования, материалы, изделия и конструкции представить: паспорта, сертификаты соответствия, сертификаты пожарной безопасности, санитарно-эпидемиологические заключение, гигиенические характеристики или отказные письма, если определённый вид материала не подлежит обязательной сертификации, действующие на момент производства работ;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4. При формировании актов выполненных работ по форме (КС-2), в случаях, когда в сметной документации стоимость оборудования, материалов, изделий и конструкций определены на основании прайс-листов и коммерческих предложений заводов изготовителей, а также официальных поставщиков, необходимо предоставлять счёт-фактуру от завода-изготовителя или официального поставщика, товарную накладную, договор поставки, не выше стоимости указанной в сметной документации;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5. По выполнению работ предоставить четыре сброшюрованных экземпляра исполнительной документации на бумажном носителе в составе: Титульный лист, реестр, СРО, приказы на ответственных лиц, акты, исполнительные схемы, сертификаты, паспорта, результаты лабораторных испытаний и т.д.;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Дополнительно: электронную версию исполнительной документации в AutoCad формат (*.dwg), реестр исполнительной документации в формате Excel. Акты в формате Word.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16.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kern w:val="0"/>
                <w:sz w:val="20"/>
              </w:rPr>
              <w:t>Приёмка  выполненных работ</w:t>
            </w:r>
          </w:p>
        </w:tc>
        <w:tc>
          <w:tcPr>
            <w:tcW w:w="620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-Подрядчик обязан предоставить Генподрядчику КС-2, КС-3, с предварительным подтверждением формами КС-6, исполнительной документацией в полном объёме и подписанную всеми представителями, участвующими в строительстве;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-Одновременно с  актом выполненных работ (КС-2) Подрядчик передаёт Генподрядчику технические акты приёмки выполненных работ, исполнительные схемы и чертежи, паспорта на оборудование и материалы;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- Вывезти и утилизировать весь строительный мусор с предоставлением отчётных документов (справки об утилизации, ТТН на перевозку строительного мусора);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- Обеспечить комплектность поставляемых материалов и изделий;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Приёмка работ осуществляется посредством проведения проверки выполненных строительно-монтажных работ на соответствие требованиям законодательных, правовых и нормативных актов, настоящего технического задания и проектной документации. Выполненные строительно-монтажные работы оформляются актами приема-передачи материалов и оборудования, актами скрытых работ, актами выполненных работ;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Гарантийный срок на выполненные строительно-монтажные работы 5 (Пять) лет с даты подписания Итогового акта.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17.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yle10"/>
                <w:rFonts w:cs="Calibri"/>
                <w:b/>
                <w:kern w:val="0"/>
                <w:sz w:val="24"/>
              </w:rPr>
              <w:t>Особые условия выполнения работ:</w:t>
            </w:r>
          </w:p>
        </w:tc>
        <w:tc>
          <w:tcPr>
            <w:tcW w:w="620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1. Перед началом производства работ: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         </w:t>
            </w:r>
            <w:r>
              <w:rPr>
                <w:kern w:val="0"/>
                <w:sz w:val="20"/>
              </w:rPr>
              <w:t>- провести входной контроль документации;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         </w:t>
            </w:r>
            <w:r>
              <w:rPr>
                <w:kern w:val="0"/>
                <w:sz w:val="20"/>
              </w:rPr>
              <w:t>- провести проверку соответствия спецификации чертежам.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2. В процессе производства работ: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         </w:t>
            </w:r>
            <w:r>
              <w:rPr>
                <w:kern w:val="0"/>
                <w:sz w:val="20"/>
              </w:rPr>
              <w:t>- информировать Генподрядчика обо всех возможных отклонениях от проекта;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         </w:t>
            </w:r>
            <w:r>
              <w:rPr>
                <w:kern w:val="0"/>
                <w:sz w:val="20"/>
              </w:rPr>
              <w:t>- согласовать отклонения от проекта с проектировщиком, с письменного согласия Генподрядчика;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         </w:t>
            </w:r>
            <w:r>
              <w:rPr>
                <w:kern w:val="0"/>
                <w:sz w:val="20"/>
              </w:rPr>
              <w:t>- уведомлять Генподрядчика о предъявлении работ в письменной форме за 3-е суток.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3. Все дополнительные работы связанные: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         </w:t>
            </w:r>
            <w:r>
              <w:rPr>
                <w:kern w:val="0"/>
                <w:sz w:val="20"/>
              </w:rPr>
              <w:t>- с недоработками в проекте;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         </w:t>
            </w:r>
            <w:r>
              <w:rPr>
                <w:kern w:val="0"/>
                <w:sz w:val="20"/>
              </w:rPr>
              <w:t>- с выявленными в процессе производства работ несоответствиями чертежей и спецификаций;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         </w:t>
            </w:r>
            <w:r>
              <w:rPr>
                <w:kern w:val="0"/>
                <w:sz w:val="20"/>
              </w:rPr>
              <w:t>- с изменениями, вносимыми в проект в процессе выполнения работ по инициативе Подрядчика;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         </w:t>
            </w:r>
            <w:r>
              <w:rPr>
                <w:kern w:val="0"/>
                <w:sz w:val="20"/>
              </w:rPr>
              <w:t>- с вызовом и предъявлением выполненных работ госорганам и инспекциям;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         </w:t>
            </w:r>
            <w:r>
              <w:rPr>
                <w:kern w:val="0"/>
                <w:sz w:val="20"/>
              </w:rPr>
              <w:t>- с устранением замечаний контролирующих органов;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         </w:t>
            </w:r>
            <w:r>
              <w:rPr>
                <w:kern w:val="0"/>
                <w:sz w:val="20"/>
              </w:rPr>
              <w:t>- с уборкой территории на месте производства строительно-монтажных работ выполняются за счёт Подрядчика.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spacing w:lineRule="auto" w:line="240"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Стоимость работ включает в себя оплату всех счетов инженерных ведомств и контролирующих органов, договоров на технический надзор, проведение лабораторных анализов и необходимых испытаний.</w:t>
            </w:r>
          </w:p>
        </w:tc>
      </w:tr>
    </w:tbl>
    <w:p>
      <w:pPr>
        <w:pStyle w:val="Normal"/>
        <w:bidi w:val="0"/>
        <w:spacing w:before="0" w:after="200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560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cs="Wingdings" w:hint="default"/>
        <w:sz w:val="1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4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semiHidden="0" w:unhideWhenUsed="0" w:qFormat="1"/>
    <w:lsdException w:name="heading 5" w:uiPriority="0" w:semiHidden="0" w:unhideWhenUsed="0" w:qFormat="1"/>
    <w:lsdException w:name="heading 6" w:uiPriority="9" w:qFormat="1"/>
    <w:lsdException w:name="heading 7" w:uiPriority="0" w:semiHidden="0" w:unhideWhenUsed="0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 w:semiHidden="0" w:qFormat="1"/>
    <w:lsdException w:name="header" w:uiPriority="99"/>
    <w:lsdException w:name="footer" w:uiPriority="0" w:semiHidden="0" w:unhideWhenUsed="0" w:qFormat="1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 w:semiHidden="0" w:qFormat="1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99" w:semiHidden="0" w:unhideWhenUsed="0" w:qFormat="1"/>
    <w:lsdException w:name="Closing" w:uiPriority="99"/>
    <w:lsdException w:name="Signature" w:uiPriority="99"/>
    <w:lsdException w:name="Default Paragraph Font" w:uiPriority="1" w:semiHidden="0" w:qFormat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 w:semiHidden="0" w:qFormat="1"/>
    <w:lsdException w:name="FollowedHyperlink" w:uiPriority="99"/>
    <w:lsdException w:name="Strong" w:uiPriority="22" w:semiHidden="0" w:unhideWhenUsed="0" w:qFormat="1"/>
    <w:lsdException w:name="Emphasis" w:uiPriority="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semiHidden="0" w:qFormat="1"/>
    <w:lsdException w:name="annotation subject" w:uiPriority="99" w:semiHidden="0" w:qFormat="1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semiHidden="0" w:qFormat="1"/>
    <w:lsdException w:name="Table Grid" w:uiPriority="59" w:semiHidden="0" w:unhideWhenUsed="0" w:qFormat="1"/>
    <w:lsdException w:name="Table Theme" w:uiPriority="99"/>
  </w:latentStyles>
  <w:style w:type="paragraph" w:styleId="Normal" w:default="1">
    <w:name w:val="Normal"/>
    <w:uiPriority w:val="0"/>
    <w:qFormat/>
    <w:pPr>
      <w:widowControl w:val="false"/>
      <w:bidi w:val="0"/>
      <w:spacing w:lineRule="auto" w:line="276" w:before="0" w:after="20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24"/>
    <w:uiPriority w:val="9"/>
    <w:qFormat/>
    <w:pPr>
      <w:keepNext w:val="true"/>
      <w:keepLines/>
      <w:spacing w:before="240" w:after="0"/>
      <w:outlineLvl w:val="0"/>
    </w:pPr>
    <w:rPr>
      <w:rFonts w:ascii="Cambria" w:hAnsi="Cambria" w:eastAsia="ＭＳ ゴシック" w:cs="" w:asciiTheme="majorHAnsi" w:cstheme="majorBidi" w:eastAsiaTheme="majorEastAsia" w:hAnsiTheme="majorHAnsi"/>
      <w:color w:val="366091" w:themeColor="accent1" w:themeShade="bf"/>
      <w:sz w:val="32"/>
      <w:szCs w:val="32"/>
    </w:rPr>
  </w:style>
  <w:style w:type="paragraph" w:styleId="4">
    <w:name w:val="Heading 4"/>
    <w:basedOn w:val="Normal"/>
    <w:next w:val="Normal"/>
    <w:link w:val="17"/>
    <w:uiPriority w:val="0"/>
    <w:qFormat/>
    <w:pPr>
      <w:keepNext w:val="true"/>
      <w:widowControl w:val="false"/>
      <w:numPr>
        <w:ilvl w:val="3"/>
        <w:numId w:val="1"/>
      </w:numPr>
      <w:shd w:val="clear" w:color="auto" w:fill="FFFFFF"/>
      <w:spacing w:lineRule="auto" w:line="240" w:before="1762" w:after="0"/>
      <w:jc w:val="center"/>
      <w:outlineLvl w:val="3"/>
    </w:pPr>
    <w:rPr>
      <w:rFonts w:ascii="Arial" w:hAnsi="Arial" w:eastAsia="SimSun" w:cs="Times New Roman"/>
      <w:b/>
      <w:bCs/>
      <w:color w:val="000000"/>
      <w:sz w:val="24"/>
      <w:szCs w:val="24"/>
      <w:lang w:eastAsia="ar-SA"/>
    </w:rPr>
  </w:style>
  <w:style w:type="paragraph" w:styleId="5">
    <w:name w:val="Heading 5"/>
    <w:basedOn w:val="Normal"/>
    <w:next w:val="Normal"/>
    <w:link w:val="18"/>
    <w:uiPriority w:val="0"/>
    <w:qFormat/>
    <w:pPr>
      <w:keepNext w:val="true"/>
      <w:widowControl w:val="false"/>
      <w:numPr>
        <w:ilvl w:val="4"/>
        <w:numId w:val="1"/>
      </w:numPr>
      <w:shd w:val="clear" w:color="auto" w:fill="FFFFFF"/>
      <w:spacing w:lineRule="auto" w:line="240" w:before="0" w:after="0"/>
      <w:ind w:left="0" w:firstLine="709"/>
      <w:jc w:val="center"/>
      <w:outlineLvl w:val="4"/>
    </w:pPr>
    <w:rPr>
      <w:rFonts w:ascii="Times New Roman" w:hAnsi="Times New Roman" w:eastAsia="SimSun" w:cs="Times New Roman"/>
      <w:b/>
      <w:bCs/>
      <w:color w:val="000000"/>
      <w:spacing w:val="-2"/>
      <w:w w:val="82"/>
      <w:sz w:val="40"/>
      <w:szCs w:val="40"/>
      <w:lang w:eastAsia="ar-SA"/>
    </w:rPr>
  </w:style>
  <w:style w:type="paragraph" w:styleId="7">
    <w:name w:val="Heading 7"/>
    <w:basedOn w:val="Normal"/>
    <w:next w:val="Normal"/>
    <w:link w:val="19"/>
    <w:uiPriority w:val="0"/>
    <w:qFormat/>
    <w:pPr>
      <w:keepNext w:val="true"/>
      <w:widowControl w:val="false"/>
      <w:numPr>
        <w:ilvl w:val="6"/>
        <w:numId w:val="1"/>
      </w:numPr>
      <w:shd w:val="clear" w:color="auto" w:fill="FFFFFF"/>
      <w:spacing w:lineRule="auto" w:line="240" w:before="0" w:after="0"/>
      <w:ind w:left="0" w:firstLine="709"/>
      <w:jc w:val="right"/>
      <w:outlineLvl w:val="6"/>
    </w:pPr>
    <w:rPr>
      <w:rFonts w:ascii="Times New Roman" w:hAnsi="Times New Roman" w:eastAsia="SimSun" w:cs="Times New Roman"/>
      <w:b/>
      <w:bCs/>
      <w:color w:val="000000"/>
      <w:sz w:val="24"/>
      <w:szCs w:val="24"/>
      <w:lang w:eastAsia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Annotation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Style10">
    <w:name w:val="Выделение"/>
    <w:uiPriority w:val="0"/>
    <w:qFormat/>
    <w:rPr>
      <w:rFonts w:ascii="Times New Roman" w:hAnsi="Times New Roman" w:cs="Times New Roman"/>
      <w:spacing w:val="0"/>
      <w:sz w:val="28"/>
    </w:rPr>
  </w:style>
  <w:style w:type="character" w:styleId="Style11">
    <w:name w:val="Интернет-ссылка"/>
    <w:basedOn w:val="DefaultParagraphFont"/>
    <w:uiPriority w:val="99"/>
    <w:unhideWhenUsed/>
    <w:qFormat/>
    <w:rPr>
      <w:color w:val="0000FF" w:themeColor="hyperlink"/>
      <w:u w:val="single"/>
    </w:rPr>
  </w:style>
  <w:style w:type="character" w:styleId="41" w:customStyle="1">
    <w:name w:val="Заголовок 4 Знак"/>
    <w:basedOn w:val="DefaultParagraphFont"/>
    <w:link w:val="3"/>
    <w:uiPriority w:val="0"/>
    <w:qFormat/>
    <w:rPr>
      <w:rFonts w:ascii="Arial" w:hAnsi="Arial" w:eastAsia="SimSun" w:cs="Times New Roman"/>
      <w:b/>
      <w:bCs/>
      <w:color w:val="000000"/>
      <w:sz w:val="24"/>
      <w:szCs w:val="24"/>
      <w:shd w:fill="FFFFFF" w:val="clear"/>
      <w:lang w:eastAsia="ar-SA"/>
    </w:rPr>
  </w:style>
  <w:style w:type="character" w:styleId="51" w:customStyle="1">
    <w:name w:val="Заголовок 5 Знак"/>
    <w:basedOn w:val="DefaultParagraphFont"/>
    <w:link w:val="4"/>
    <w:uiPriority w:val="0"/>
    <w:qFormat/>
    <w:rPr>
      <w:rFonts w:ascii="Times New Roman" w:hAnsi="Times New Roman" w:eastAsia="SimSun" w:cs="Times New Roman"/>
      <w:b/>
      <w:bCs/>
      <w:color w:val="000000"/>
      <w:spacing w:val="-2"/>
      <w:w w:val="82"/>
      <w:sz w:val="40"/>
      <w:szCs w:val="40"/>
      <w:shd w:fill="FFFFFF" w:val="clear"/>
      <w:lang w:eastAsia="ar-SA"/>
    </w:rPr>
  </w:style>
  <w:style w:type="character" w:styleId="71" w:customStyle="1">
    <w:name w:val="Заголовок 7 Знак"/>
    <w:basedOn w:val="DefaultParagraphFont"/>
    <w:link w:val="5"/>
    <w:uiPriority w:val="0"/>
    <w:qFormat/>
    <w:rPr>
      <w:rFonts w:ascii="Times New Roman" w:hAnsi="Times New Roman" w:eastAsia="SimSun" w:cs="Times New Roman"/>
      <w:b/>
      <w:bCs/>
      <w:color w:val="000000"/>
      <w:sz w:val="24"/>
      <w:szCs w:val="24"/>
      <w:shd w:fill="FFFFFF" w:val="clear"/>
      <w:lang w:eastAsia="ar-SA"/>
    </w:rPr>
  </w:style>
  <w:style w:type="character" w:styleId="Style12" w:customStyle="1">
    <w:name w:val="Название Знак"/>
    <w:basedOn w:val="DefaultParagraphFont"/>
    <w:link w:val="9"/>
    <w:uiPriority w:val="99"/>
    <w:qFormat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11" w:customStyle="1">
    <w:name w:val="Заголовок 1 Знак"/>
    <w:basedOn w:val="DefaultParagraphFont"/>
    <w:link w:val="2"/>
    <w:uiPriority w:val="9"/>
    <w:qFormat/>
    <w:rPr>
      <w:rFonts w:ascii="Cambria" w:hAnsi="Cambria" w:eastAsia="ＭＳ ゴシック" w:cs="" w:asciiTheme="majorHAnsi" w:cstheme="majorBidi" w:eastAsiaTheme="majorEastAsia" w:hAnsiTheme="majorHAnsi"/>
      <w:color w:val="366091" w:themeColor="accent1" w:themeShade="bf"/>
      <w:sz w:val="32"/>
      <w:szCs w:val="32"/>
    </w:rPr>
  </w:style>
  <w:style w:type="character" w:styleId="Style13" w:customStyle="1">
    <w:name w:val="Нижний колонтитул Знак"/>
    <w:basedOn w:val="DefaultParagraphFont"/>
    <w:link w:val="10"/>
    <w:uiPriority w:val="0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Обычный текст Знак"/>
    <w:link w:val="27"/>
    <w:uiPriority w:val="0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5" w:customStyle="1">
    <w:name w:val="Текст примечания Знак"/>
    <w:basedOn w:val="DefaultParagraphFont"/>
    <w:link w:val="7"/>
    <w:uiPriority w:val="99"/>
    <w:semiHidden/>
    <w:qFormat/>
    <w:rPr>
      <w:lang w:eastAsia="en-US"/>
    </w:rPr>
  </w:style>
  <w:style w:type="character" w:styleId="Style16" w:customStyle="1">
    <w:name w:val="Тема примечания Знак"/>
    <w:basedOn w:val="Style15"/>
    <w:link w:val="8"/>
    <w:uiPriority w:val="99"/>
    <w:semiHidden/>
    <w:qFormat/>
    <w:rPr>
      <w:b/>
      <w:bCs/>
    </w:rPr>
  </w:style>
  <w:style w:type="character" w:styleId="Style17" w:customStyle="1">
    <w:name w:val="Текст выноски Знак"/>
    <w:basedOn w:val="DefaultParagraphFont"/>
    <w:link w:val="6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31"/>
    <w:uiPriority w:val="99"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29"/>
    <w:uiPriority w:val="99"/>
    <w:unhideWhenUsed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30"/>
    <w:uiPriority w:val="99"/>
    <w:unhideWhenUsed/>
    <w:qFormat/>
    <w:pPr/>
    <w:rPr>
      <w:b/>
      <w:bCs/>
    </w:rPr>
  </w:style>
  <w:style w:type="paragraph" w:styleId="Style23">
    <w:name w:val="Title"/>
    <w:basedOn w:val="Normal"/>
    <w:link w:val="22"/>
    <w:uiPriority w:val="99"/>
    <w:qFormat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Footer"/>
    <w:basedOn w:val="Normal"/>
    <w:link w:val="25"/>
    <w:uiPriority w:val="0"/>
    <w:qFormat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left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21" w:customStyle="1">
    <w:name w:val="Основной текст 21"/>
    <w:basedOn w:val="Normal"/>
    <w:uiPriority w:val="0"/>
    <w:qFormat/>
    <w:pPr>
      <w:widowControl w:val="false"/>
      <w:suppressAutoHyphens w:val="true"/>
      <w:spacing w:lineRule="auto" w:line="240" w:before="0" w:after="0"/>
    </w:pPr>
    <w:rPr>
      <w:rFonts w:ascii="Arial" w:hAnsi="Arial" w:eastAsia="Times New Roman" w:cs="Times New Roman"/>
      <w:szCs w:val="20"/>
      <w:lang w:val="en-US" w:eastAsia="ru-RU"/>
    </w:rPr>
  </w:style>
  <w:style w:type="paragraph" w:styleId="12" w:customStyle="1">
    <w:name w:val="Абзац списка1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FR1" w:customStyle="1">
    <w:name w:val="FR1"/>
    <w:uiPriority w:val="99"/>
    <w:qFormat/>
    <w:pPr>
      <w:widowControl w:val="false"/>
      <w:bidi w:val="0"/>
      <w:spacing w:lineRule="auto" w:line="240" w:before="20" w:after="0"/>
      <w:ind w:left="11720" w:right="18600" w:hanging="0"/>
    </w:pPr>
    <w:rPr>
      <w:rFonts w:ascii="Times New Roman" w:hAnsi="Times New Roman" w:eastAsia="Times New Roman" w:cs="Times New Roman"/>
      <w:b/>
      <w:i/>
      <w:color w:val="auto"/>
      <w:kern w:val="0"/>
      <w:sz w:val="48"/>
      <w:szCs w:val="20"/>
      <w:lang w:val="ru-RU" w:eastAsia="ru-RU" w:bidi="ar-SA"/>
    </w:rPr>
  </w:style>
  <w:style w:type="paragraph" w:styleId="Default" w:customStyle="1">
    <w:name w:val="Default"/>
    <w:uiPriority w:val="0"/>
    <w:qFormat/>
    <w:pPr>
      <w:widowControl w:val="false"/>
      <w:bidi w:val="0"/>
      <w:spacing w:lineRule="auto" w:line="240" w:before="0" w:after="0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13" w:customStyle="1">
    <w:name w:val="Обычный текст1"/>
    <w:basedOn w:val="Normal"/>
    <w:link w:val="28"/>
    <w:uiPriority w:val="0"/>
    <w:qFormat/>
    <w:pPr>
      <w:spacing w:lineRule="auto" w:line="240" w:before="0" w:after="0"/>
      <w:ind w:left="170" w:firstLine="737"/>
    </w:pPr>
    <w:rPr>
      <w:rFonts w:ascii="Times New Roman" w:hAnsi="Times New Roman" w:eastAsia="Times New Roman" w:cs="Times New Roman"/>
      <w:sz w:val="24"/>
      <w:szCs w:val="24"/>
    </w:rPr>
  </w:style>
  <w:style w:type="table" w:default="1" w:styleId="15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"/>
    <w:basedOn w:val="15"/>
    <w:uiPriority w:val="59"/>
    <w:qFormat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40D92F8-E4AB-428E-BB64-A47B07710CE8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LibreOffice/7.1.5.2$Windows_X86_64 LibreOffice_project/85f04e9f809797b8199d13c421bd8a2b025d52b5</Application>
  <AppVersion>15.0000</AppVersion>
  <Pages>6</Pages>
  <Words>2138</Words>
  <Characters>14856</Characters>
  <CharactersWithSpaces>16954</CharactersWithSpaces>
  <Paragraphs>153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2019-03-21T05:43:00Z</dcterms:created>
  <dc:creator>home</dc:creator>
  <dc:description/>
  <dc:language>ru-RU</dc:language>
  <cp:lastModifiedBy>Rozhnev Egor</cp:lastModifiedBy>
  <dcterms:modified xsi:type="dcterms:W3CDTF">2022-06-22T14:18:20Z</dcterms:modified>
  <cp:revision>17</cp:revision>
  <dc:subject/>
  <dc:title>«Гостиничный комплекс»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1049-10.1.0.5785</vt:lpwstr>
  </property>
</Properties>
</file>