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75" w:rsidRDefault="00B770BB">
      <w:pPr>
        <w:spacing w:after="0" w:line="240" w:lineRule="auto"/>
        <w:ind w:left="-142"/>
        <w:rPr>
          <w:rFonts w:ascii="Times New Roman" w:hAnsi="Times New Roman" w:cs="Times New Roman"/>
          <w:b/>
          <w:sz w:val="21"/>
          <w:szCs w:val="21"/>
        </w:rPr>
      </w:pPr>
      <w:r w:rsidRPr="00B770BB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>Техническое задание</w:t>
      </w:r>
    </w:p>
    <w:p w:rsidR="00FD1275" w:rsidRDefault="00B770BB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на выполнение комплекса работ по</w:t>
      </w:r>
      <w:r w:rsidRPr="00B770BB"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 xml:space="preserve">ремонту гидроизоляции подземной парковки рамках строительства Объекта: «Реконструкция производственных корпусов бывшей табачной фабрики «Нево–Табак» с целью приспособления для современного использования (многоквартирный жилой комплекс «Олимпия») на земельном участке с кадастровым номером 78:32:0001635:17 по адресу: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г.Санкт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>-Петербург, Клинский проспект, дом 25, лит. А»</w:t>
      </w:r>
    </w:p>
    <w:p w:rsidR="00FD1275" w:rsidRDefault="00FD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6202" w:type="dxa"/>
            <w:vAlign w:val="center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«Олимпия»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Район, пункт проведения работ</w:t>
            </w:r>
          </w:p>
        </w:tc>
        <w:tc>
          <w:tcPr>
            <w:tcW w:w="6202" w:type="dxa"/>
            <w:vAlign w:val="center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Клинский проспект, дом 25, лит. А.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описание объекта</w:t>
            </w:r>
          </w:p>
        </w:tc>
        <w:tc>
          <w:tcPr>
            <w:tcW w:w="6202" w:type="dxa"/>
            <w:vAlign w:val="center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со встроенными помещениями 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Застройщик</w:t>
            </w:r>
          </w:p>
        </w:tc>
        <w:tc>
          <w:tcPr>
            <w:tcW w:w="6202" w:type="dxa"/>
            <w:vAlign w:val="center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«Клинский 25»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Технический заказчик/Генподрядчик</w:t>
            </w:r>
          </w:p>
        </w:tc>
        <w:tc>
          <w:tcPr>
            <w:tcW w:w="6202" w:type="dxa"/>
            <w:vAlign w:val="center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"КЕСКО"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для проведения работ</w:t>
            </w:r>
          </w:p>
        </w:tc>
        <w:tc>
          <w:tcPr>
            <w:tcW w:w="6202" w:type="dxa"/>
            <w:vAlign w:val="center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Субподряда.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Сроки выполнения работ</w:t>
            </w:r>
          </w:p>
        </w:tc>
        <w:tc>
          <w:tcPr>
            <w:tcW w:w="6202" w:type="dxa"/>
            <w:vAlign w:val="center"/>
          </w:tcPr>
          <w:p w:rsidR="00FD1275" w:rsidRDefault="00B770BB" w:rsidP="00B770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2024</w:t>
            </w:r>
          </w:p>
        </w:tc>
      </w:tr>
      <w:tr w:rsidR="00FD1275">
        <w:trPr>
          <w:trHeight w:val="90"/>
        </w:trPr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объем выполняемых работ</w:t>
            </w:r>
          </w:p>
        </w:tc>
        <w:tc>
          <w:tcPr>
            <w:tcW w:w="6202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Работы выполняются в соответствии с требованиями действующих строительных норм и правил, правил ТБ и других документов регулирующих строительство объектов;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Вопросы взаимодействия Генподрядчика и Субподрядчика регулируются договором на выполнение работ и законодательством РФ;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Субподрядчик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проводит весь комплекс необходимых работ согласно переданного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проекта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настоящему Техническому заданию;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Субподрядчик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поставляет материалы в количестве и номенклатуре по согласованию с Генподрядчиком.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5.До начала производства работ Субподрядчик должен предоставить Генеральному подрядчику график производства работ, технологические карты производства работ, приказы на ответственных лиц за технику безопасности.</w:t>
            </w:r>
          </w:p>
          <w:p w:rsidR="00FD1275" w:rsidRDefault="00FD1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5" w:rsidRDefault="00B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работ определяется Исполнительной документацией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инжект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систему, 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фактически выявленными протечками трещим бетона и холодных швов.</w:t>
            </w:r>
          </w:p>
          <w:p w:rsidR="00FD1275" w:rsidRPr="00F87BD3" w:rsidRDefault="00B770BB" w:rsidP="00B770BB">
            <w:pPr>
              <w:pStyle w:val="a9"/>
              <w:tabs>
                <w:tab w:val="left" w:pos="600"/>
              </w:tabs>
              <w:autoSpaceDE w:val="0"/>
              <w:autoSpaceDN w:val="0"/>
              <w:spacing w:before="0" w:beforeAutospacing="0" w:after="0" w:afterAutospacing="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Субподрядчик выполняет работы в соответствии с 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СНиП 12-01-2004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строительства», 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СНиП 12-03-2001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«Безопасность труда в строительстве часть 1»,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СНиП 12-04-2002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«Безопасность труда в строительстве часть 2»,</w:t>
            </w:r>
            <w:r>
              <w:rPr>
                <w:rFonts w:ascii="Times New Roman" w:eastAsia="TheSansBPlus-W3Light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heSansBPlus-W3Light" w:hAnsi="Times New Roman" w:cs="Times New Roman"/>
                <w:b/>
                <w:bCs/>
                <w:sz w:val="18"/>
                <w:szCs w:val="18"/>
              </w:rPr>
              <w:t>Федеральный закон от 22 июля 2008 года №123-ФЗ</w:t>
            </w:r>
            <w:r>
              <w:rPr>
                <w:rFonts w:ascii="Times New Roman" w:eastAsia="TheSansBPlus-W3Light" w:hAnsi="Times New Roman" w:cs="Times New Roman"/>
                <w:sz w:val="18"/>
                <w:szCs w:val="18"/>
              </w:rPr>
              <w:t xml:space="preserve"> ≪≪Технический регламент о требованиях пожарной безопасности≫,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ППБ 05-86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«Правила пожарной безопасности при производстве строительно-монтажных работ» и др.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Разработанным и согласованным Генподрядчиком проектом производства работ и технических карт на специальные виды работ;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документации;</w:t>
            </w:r>
          </w:p>
          <w:p w:rsidR="00FD1275" w:rsidRDefault="00FD1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5" w:rsidRDefault="00B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 работ по ремонту гидроизоляции должен включать в себя следующие работы:</w:t>
            </w:r>
          </w:p>
          <w:p w:rsidR="00FD1275" w:rsidRDefault="00FD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Входной контроль документации, </w:t>
            </w:r>
            <w:r w:rsidR="00F87BD3">
              <w:rPr>
                <w:rFonts w:ascii="Times New Roman" w:hAnsi="Times New Roman" w:cs="Times New Roman"/>
                <w:sz w:val="18"/>
                <w:szCs w:val="18"/>
              </w:rPr>
              <w:t>фото фиксацию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составления перечня протечек;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Разработка и согласование с Техническим заказчиком, Генподрядчиком: 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ППР;</w:t>
            </w:r>
          </w:p>
          <w:p w:rsidR="00FD1275" w:rsidRDefault="00B770BB" w:rsidP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Доставка на объект строительства, разгрузка и разноска оборудования и материалов к месту производства работ;</w:t>
            </w:r>
          </w:p>
          <w:p w:rsidR="00B770BB" w:rsidRDefault="00B770BB" w:rsidP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70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работ по ремонту гидроизоляции в </w:t>
            </w:r>
            <w:r w:rsidR="00F87BD3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ППР</w:t>
            </w:r>
          </w:p>
          <w:p w:rsidR="00B770BB" w:rsidRPr="00B770BB" w:rsidRDefault="00B770BB" w:rsidP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Разработка исполнительной документации, </w:t>
            </w:r>
            <w:r w:rsidR="00F87BD3">
              <w:rPr>
                <w:rFonts w:ascii="Times New Roman" w:hAnsi="Times New Roman" w:cs="Times New Roman"/>
                <w:sz w:val="18"/>
                <w:szCs w:val="18"/>
              </w:rPr>
              <w:t>фото фиксация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наличию опыта производства работ</w:t>
            </w:r>
          </w:p>
        </w:tc>
        <w:tc>
          <w:tcPr>
            <w:tcW w:w="6202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референций по выполнению СМР, указанных в п.1 настоящего технического задания. </w:t>
            </w:r>
          </w:p>
          <w:p w:rsidR="00FD1275" w:rsidRDefault="00FD1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наличию материально-технических ресурсов (МТР)</w:t>
            </w:r>
          </w:p>
        </w:tc>
        <w:tc>
          <w:tcPr>
            <w:tcW w:w="6202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Субподрядчик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должен иметь достаточное для исполнения договора в исправном состоянии количество МТР (машин и механизмов, специальных приспособлений и инструментов) для выполнения работ указанных в пункте 8. настоящего технического задания.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Требование к обеспечению кадровыми ресурсами</w:t>
            </w:r>
          </w:p>
        </w:tc>
        <w:tc>
          <w:tcPr>
            <w:tcW w:w="6202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Субподрядчик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должен иметь достаточное для исполнения договора количество кадровых ресурсов соответствующей квалификации.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Субподрядчику</w:t>
            </w:r>
          </w:p>
        </w:tc>
        <w:tc>
          <w:tcPr>
            <w:tcW w:w="6202" w:type="dxa"/>
          </w:tcPr>
          <w:p w:rsidR="00FD1275" w:rsidRDefault="00B770BB" w:rsidP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Субподрядчик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наличие опыта выполнения работ, указанных Разработанным графиком производства работ, согласованным с Генподрядчиком;</w:t>
            </w:r>
          </w:p>
          <w:p w:rsidR="00FD1275" w:rsidRDefault="00B770BB">
            <w:pPr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ППР и технологическими картами;</w:t>
            </w:r>
          </w:p>
          <w:p w:rsidR="00FD1275" w:rsidRDefault="00B770BB">
            <w:pPr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 и СТО заводов изготовителей материалов, конструкций, изделий и т.д.</w:t>
            </w:r>
          </w:p>
          <w:p w:rsidR="00FD1275" w:rsidRDefault="00FD1275" w:rsidP="00B770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содержанию площадки</w:t>
            </w:r>
          </w:p>
        </w:tc>
        <w:tc>
          <w:tcPr>
            <w:tcW w:w="6202" w:type="dxa"/>
          </w:tcPr>
          <w:p w:rsidR="00FD1275" w:rsidRDefault="00B770BB">
            <w:pPr>
              <w:tabs>
                <w:tab w:val="left" w:pos="60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Субподрядчик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обязан содержать площадку в чистоте. В процессе производства работ систематическая уборка площади от отходов строительного производства, вывоз мусора в специально отведенные места складирования бытовых отходов и строительного мусора осуществляется Субподрядчиком.</w:t>
            </w:r>
          </w:p>
          <w:p w:rsidR="00FD1275" w:rsidRDefault="00B770BB">
            <w:pPr>
              <w:tabs>
                <w:tab w:val="left" w:pos="60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Генподрядчик обеспечивает наличие на объекте ВРУ для подключения электроинструмента и оборудования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Субподрядчик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Субподрядчик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организует при необходимости дополнительное освещение собственными силами.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Требование к технике безопасности</w:t>
            </w:r>
          </w:p>
        </w:tc>
        <w:tc>
          <w:tcPr>
            <w:tcW w:w="6202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безопасности лежит в полном объёме на подрядчике.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исполнительной документации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02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Исполнительную документацию выполнить в необходимом объёме, в соответствии с действующим законодательством в строительстве на территории Российской Федерации, на основании требований РД 11-02-2006, РД 11-05-2007, приказ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1128 от 26.12.2006 г. и передать Генподрядчику по окончании СМР;</w:t>
            </w:r>
          </w:p>
          <w:p w:rsidR="00FD1275" w:rsidRDefault="00B770BB">
            <w:pPr>
              <w:pStyle w:val="a9"/>
              <w:tabs>
                <w:tab w:val="left" w:pos="600"/>
                <w:tab w:val="left" w:pos="1276"/>
                <w:tab w:val="left" w:pos="10206"/>
              </w:tabs>
              <w:autoSpaceDE w:val="0"/>
              <w:autoSpaceDN w:val="0"/>
              <w:spacing w:before="0" w:beforeAutospacing="0" w:after="0" w:afterAutospacing="0" w:line="259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 На оборудования, материалы, изделия и конструкции импортного производства кроме паспортов и сертификатов качества предоставить сертификаты соответствия для применения на территории Российской Федерации. Своими силами и за свой счёт до начала выполнения работ получить и поддерживать в силе в течение всего срока производства работ все свидетельства, сертификаты, разрешения государственных органов, необходимые для надлежащего выполнения работ.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На все оборудования, материалы, изделия и конструкции представить: паспорта, сертификаты соответствия, сертификаты пожарной безопасности, санитарно-эпидемиологические заключение, гигиенические характеристики или отказные письма, если определённый вид материала не подлежит обязательной сертификации, действующие на момент производства работ;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При формировании актов выполненных работ по форме (КС-2), в случаях, когда в сметной документации стоимость оборудования, материалов, изделий и конструкций определены на основании прайс-листов и коммерческих предложений заводов изготовителей, а также официальных поставщиков, необходимо предоставлять счёт-фактуру от завода-изготовителя или официального поставщика, товарную накладную, договор поставки, не выше стоимости указанной в сметной документации;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По выполнению работ предоставить четыре сброшюрованных экземпляра исполнительной документации на бумажном носителе в составе: Титульный лист, реестр, СРО, приказы на ответственных лиц, акты, исполнительные схемы, сертификаты, паспорта, результаты лабораторных испытаний и т.д.; 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Дополнительно: электронную версию исполнительной документации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формат (*.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dwg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реестр исполнительной документации в формате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Акты в формате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Приёмка  выполненных работ</w:t>
            </w:r>
          </w:p>
        </w:tc>
        <w:tc>
          <w:tcPr>
            <w:tcW w:w="6202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-Подрядчик обязан предоставить Генподрядчику КС-2, КС-3, с предварительным подтверждением формами КС-6, исполнительной документацией в полном объёме и подписанную всеми представителями, участвующими в строительстве;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-Одновременно </w:t>
            </w:r>
            <w:r w:rsidR="00F87BD3">
              <w:rPr>
                <w:rFonts w:ascii="Times New Roman" w:hAnsi="Times New Roman" w:cs="Times New Roman"/>
                <w:sz w:val="18"/>
                <w:szCs w:val="18"/>
              </w:rPr>
              <w:t>с актом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выполненных работ (КС-2)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Субподрядчик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передаёт Генподрядчику технические акты приёмки выполненных работ, исполнительные схемы и чертежи, паспорта на оборудование и материалы;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Вывезти и утилизировать весь строительный мусор с предоставлением отчётных документов (справки об утилизации, ТТН на перевозку строительного мусора);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Обеспечить комплектность поставляемых материалов и изделий;</w:t>
            </w:r>
          </w:p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Приёмка работ осуществляется посредством проведения проверки выполненных строительно-монтажных работ на соответствие требованиям законодательных, правовых и нормативных актов, настоящего технического задания и проектной документации. Выполненные строительно-монтажные работы оформляются актами приема-передачи материалов и оборудования, актами скрытых работ, актами выполненных работ;</w:t>
            </w:r>
          </w:p>
          <w:p w:rsidR="00FD1275" w:rsidRDefault="00FD1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5" w:rsidRDefault="00B770BB">
            <w:pPr>
              <w:tabs>
                <w:tab w:val="left" w:pos="600"/>
                <w:tab w:val="left" w:pos="1276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Гарантия качества выполняемых работ, в том числе на используемые оборудование и материалы, предоставляется в полном объеме с соблюдением технологии производства, действующих норм и правил на период не менее 60 месяцев  (5 лет) после подписания Окончательного  акта приемки выполненных работ</w:t>
            </w:r>
          </w:p>
        </w:tc>
      </w:tr>
      <w:tr w:rsidR="00FD1275">
        <w:tc>
          <w:tcPr>
            <w:tcW w:w="534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835" w:type="dxa"/>
          </w:tcPr>
          <w:p w:rsidR="00FD1275" w:rsidRDefault="00B770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b/>
                <w:sz w:val="18"/>
                <w:szCs w:val="18"/>
              </w:rPr>
              <w:t>Особые условия выполнения работ:</w:t>
            </w:r>
          </w:p>
        </w:tc>
        <w:tc>
          <w:tcPr>
            <w:tcW w:w="6202" w:type="dxa"/>
          </w:tcPr>
          <w:p w:rsidR="00FD1275" w:rsidRDefault="00B77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Все работы </w:t>
            </w:r>
            <w:r w:rsidR="00D56C10">
              <w:rPr>
                <w:rFonts w:ascii="Times New Roman" w:hAnsi="Times New Roman" w:cs="Times New Roman"/>
                <w:sz w:val="18"/>
                <w:szCs w:val="18"/>
              </w:rPr>
              <w:t>связанные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уборкой территории на месте производства строительно-монтажных работ выполняются за счёт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Субподрядчик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  <w:p w:rsidR="00FD1275" w:rsidRDefault="00B770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включает в себя оплату всех счетов инженерных ведомств и контролирующих органов, договоров на технический надзор, проведение лабораторных анализов и необходимых испытаний.</w:t>
            </w:r>
          </w:p>
          <w:p w:rsidR="00FD1275" w:rsidRDefault="00B770BB">
            <w:pPr>
              <w:pStyle w:val="a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Требования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ОТиТБ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FD1275" w:rsidRDefault="00B770BB">
            <w:pPr>
              <w:pStyle w:val="a0"/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Обеспечить безопасное производство работ;</w:t>
            </w:r>
          </w:p>
          <w:p w:rsidR="00FD1275" w:rsidRDefault="00B770BB">
            <w:pPr>
              <w:pStyle w:val="a0"/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Направлять персонал, привлекаемый для выполнения работ на территории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Заказчика, на вводный инструктаж к ответственному за проведение вводного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инструктажа  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начала проведения работ на территории Заказчика;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Разработать, при необходимости, дополнительные меры по обеспечению безопасных условий труда и выполнять их в процессе работы;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Выполнить мероприятия по обеспечению безопасных условий труда, предусмотренных Актом-допуском;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Выполнять работы силами подготовленного и аттестованного персонала, не имеющих медицинских противопоказаний к выполняемой работе;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Назначить лиц, ответственных за обеспечение охраны труда, пожарной безопасности, электробезопасности и промышленной безопасности;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Организовать допуск персонала к работам, в том числе зонах постоянно или потенциально опасных производственных факторов;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Обеспечить своих работников исправными средствами индивидуальной и коллективной защиты и контролировать правильное их применение;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Содержать производственные территории, участки работ и рабочие места, предоставляемые для производства договорных работ, в чистоте и порядке;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Обеспечить сохранность установленных на месте работы ограждений, знаков безопасности, запирающих устройств;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11.Обеспечить исправное техническое состояние и безопасную эксплуатацию оборудования, электроинструмента, технологической оснастки, строительных и монтажных машин, механизмов и приборов;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12.Обеспечить необходимые условия для проведения проверок безопасности организации работ должностными лицами Заказчика;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13.Обеспечить разработку и выполнение мероприятий по устранению замечаний комиссий Заказчика;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14.Обеспечивать ограждение зоны возникновения временных опасностей во время проведения строительно-монтажных работ сигнальной лентой;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15.Укомплектовывать рабочие места, опасные 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или пожарном отношении, первичными средствами пожаротушения и средствами контроля и оперативного оповещения об угрожающей ситуации;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Не допускать накапливания на площадках горючих веществ (жирные масляные тряпки, опилки или стружки и отходы пластмасс), организовывать их хранение в закрытых металлических контейнерах в безопасном месте;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 Все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электропусковые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 Обеспечить безопасность работ, указав границы опасной зоны – 3 метра от стен;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 На обозначенной зоне разместить все оборудование и материалы, а также организовать место для сборки конструкции;</w:t>
            </w:r>
          </w:p>
          <w:p w:rsidR="00FD1275" w:rsidRDefault="00B770BB">
            <w:pPr>
              <w:pStyle w:val="a0"/>
              <w:numPr>
                <w:ilvl w:val="0"/>
                <w:numId w:val="0"/>
              </w:numPr>
              <w:tabs>
                <w:tab w:val="clear" w:pos="360"/>
                <w:tab w:val="left" w:pos="220"/>
                <w:tab w:val="left" w:pos="440"/>
              </w:tabs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 Не допускать проведения работ при неподходящих погодных условиях (при сильном ветре или низких температурах)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275" w:rsidRDefault="00FD1275">
            <w:pPr>
              <w:spacing w:after="0" w:line="240" w:lineRule="auto"/>
              <w:ind w:firstLineChars="122" w:firstLine="2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275" w:rsidRDefault="00FD1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275" w:rsidRDefault="00FD1275">
      <w:pPr>
        <w:rPr>
          <w:rFonts w:ascii="Times New Roman" w:hAnsi="Times New Roman" w:cs="Times New Roman"/>
          <w:sz w:val="16"/>
          <w:szCs w:val="16"/>
        </w:rPr>
      </w:pPr>
    </w:p>
    <w:sectPr w:rsidR="00FD12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eSansBPlus-W3Light">
    <w:altName w:val="MS Gothic"/>
    <w:charset w:val="80"/>
    <w:family w:val="swiss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301A14B3"/>
    <w:multiLevelType w:val="multilevel"/>
    <w:tmpl w:val="301A14B3"/>
    <w:lvl w:ilvl="0">
      <w:start w:val="2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C470048"/>
    <w:multiLevelType w:val="singleLevel"/>
    <w:tmpl w:val="5C4700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3" w15:restartNumberingAfterBreak="0">
    <w:nsid w:val="620A5F46"/>
    <w:multiLevelType w:val="singleLevel"/>
    <w:tmpl w:val="620A5F46"/>
    <w:lvl w:ilvl="0">
      <w:start w:val="4"/>
      <w:numFmt w:val="decimal"/>
      <w:suff w:val="space"/>
      <w:lvlText w:val="%1."/>
      <w:lvlJc w:val="left"/>
    </w:lvl>
  </w:abstractNum>
  <w:abstractNum w:abstractNumId="4" w15:restartNumberingAfterBreak="0">
    <w:nsid w:val="64DDE59E"/>
    <w:multiLevelType w:val="singleLevel"/>
    <w:tmpl w:val="64DDE59E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64DDF622"/>
    <w:multiLevelType w:val="singleLevel"/>
    <w:tmpl w:val="64DDF62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1E0C"/>
    <w:rsid w:val="00046883"/>
    <w:rsid w:val="000717E5"/>
    <w:rsid w:val="00172A27"/>
    <w:rsid w:val="001974DA"/>
    <w:rsid w:val="001B176D"/>
    <w:rsid w:val="00230BCF"/>
    <w:rsid w:val="00247BEC"/>
    <w:rsid w:val="002530A6"/>
    <w:rsid w:val="00276905"/>
    <w:rsid w:val="003C04D8"/>
    <w:rsid w:val="003C349F"/>
    <w:rsid w:val="003E1C09"/>
    <w:rsid w:val="00446A15"/>
    <w:rsid w:val="00462117"/>
    <w:rsid w:val="00467867"/>
    <w:rsid w:val="00495E06"/>
    <w:rsid w:val="0050747E"/>
    <w:rsid w:val="0051317E"/>
    <w:rsid w:val="00547347"/>
    <w:rsid w:val="00584AAF"/>
    <w:rsid w:val="00592104"/>
    <w:rsid w:val="005A0DEF"/>
    <w:rsid w:val="005D5351"/>
    <w:rsid w:val="005F56F4"/>
    <w:rsid w:val="006836C6"/>
    <w:rsid w:val="00731630"/>
    <w:rsid w:val="00763BEE"/>
    <w:rsid w:val="007C4AB7"/>
    <w:rsid w:val="007F0D2D"/>
    <w:rsid w:val="008030A3"/>
    <w:rsid w:val="00851F36"/>
    <w:rsid w:val="008A4863"/>
    <w:rsid w:val="008A5465"/>
    <w:rsid w:val="008E4F4D"/>
    <w:rsid w:val="008F738E"/>
    <w:rsid w:val="009376B7"/>
    <w:rsid w:val="00953CD2"/>
    <w:rsid w:val="00967F06"/>
    <w:rsid w:val="00974AB5"/>
    <w:rsid w:val="00991755"/>
    <w:rsid w:val="009C6D5F"/>
    <w:rsid w:val="00A110A3"/>
    <w:rsid w:val="00A23DE6"/>
    <w:rsid w:val="00A35C73"/>
    <w:rsid w:val="00A70BF8"/>
    <w:rsid w:val="00A74EE3"/>
    <w:rsid w:val="00A96B29"/>
    <w:rsid w:val="00B13430"/>
    <w:rsid w:val="00B409E2"/>
    <w:rsid w:val="00B52009"/>
    <w:rsid w:val="00B67471"/>
    <w:rsid w:val="00B770BB"/>
    <w:rsid w:val="00B77F5F"/>
    <w:rsid w:val="00B95214"/>
    <w:rsid w:val="00BB453F"/>
    <w:rsid w:val="00C140B7"/>
    <w:rsid w:val="00C24148"/>
    <w:rsid w:val="00CB1423"/>
    <w:rsid w:val="00CD3585"/>
    <w:rsid w:val="00D56C10"/>
    <w:rsid w:val="00D73DD6"/>
    <w:rsid w:val="00D81EE3"/>
    <w:rsid w:val="00DB6DBC"/>
    <w:rsid w:val="00DC6329"/>
    <w:rsid w:val="00E54718"/>
    <w:rsid w:val="00E664D7"/>
    <w:rsid w:val="00E82EE5"/>
    <w:rsid w:val="00E9579A"/>
    <w:rsid w:val="00F87BD3"/>
    <w:rsid w:val="00F90DB2"/>
    <w:rsid w:val="00F94992"/>
    <w:rsid w:val="00FD1275"/>
    <w:rsid w:val="00FE3A2A"/>
    <w:rsid w:val="00FF5CDB"/>
    <w:rsid w:val="01FC7B97"/>
    <w:rsid w:val="05DC4518"/>
    <w:rsid w:val="0D5F1094"/>
    <w:rsid w:val="0D92490D"/>
    <w:rsid w:val="0E7A005D"/>
    <w:rsid w:val="0F2844C3"/>
    <w:rsid w:val="115B71DA"/>
    <w:rsid w:val="11620DBD"/>
    <w:rsid w:val="136C20C7"/>
    <w:rsid w:val="13D02C92"/>
    <w:rsid w:val="146C6EC3"/>
    <w:rsid w:val="15DA0973"/>
    <w:rsid w:val="179014B4"/>
    <w:rsid w:val="18C04485"/>
    <w:rsid w:val="1B89415A"/>
    <w:rsid w:val="1BC82D1A"/>
    <w:rsid w:val="1C052C02"/>
    <w:rsid w:val="1C7724DC"/>
    <w:rsid w:val="1E822E1C"/>
    <w:rsid w:val="20C030B2"/>
    <w:rsid w:val="20C14309"/>
    <w:rsid w:val="20D00CE2"/>
    <w:rsid w:val="23A01950"/>
    <w:rsid w:val="27DC1E69"/>
    <w:rsid w:val="2A647068"/>
    <w:rsid w:val="2B184F2B"/>
    <w:rsid w:val="2B4059D0"/>
    <w:rsid w:val="2BB01418"/>
    <w:rsid w:val="2E2906E3"/>
    <w:rsid w:val="2FE345B4"/>
    <w:rsid w:val="311D7FFF"/>
    <w:rsid w:val="32003373"/>
    <w:rsid w:val="33FB0D73"/>
    <w:rsid w:val="359724E8"/>
    <w:rsid w:val="36E23211"/>
    <w:rsid w:val="3AEA0617"/>
    <w:rsid w:val="3B2B7FFE"/>
    <w:rsid w:val="4056364C"/>
    <w:rsid w:val="40A254DC"/>
    <w:rsid w:val="426F7E2B"/>
    <w:rsid w:val="42E56C30"/>
    <w:rsid w:val="43476683"/>
    <w:rsid w:val="44665399"/>
    <w:rsid w:val="44AC451A"/>
    <w:rsid w:val="45707D91"/>
    <w:rsid w:val="46E056D8"/>
    <w:rsid w:val="47147091"/>
    <w:rsid w:val="474447B7"/>
    <w:rsid w:val="487D6788"/>
    <w:rsid w:val="48B33FB3"/>
    <w:rsid w:val="4AE92212"/>
    <w:rsid w:val="4D6A35C5"/>
    <w:rsid w:val="50063B85"/>
    <w:rsid w:val="50E761BB"/>
    <w:rsid w:val="55AD6164"/>
    <w:rsid w:val="569B0474"/>
    <w:rsid w:val="56B26877"/>
    <w:rsid w:val="56CF073A"/>
    <w:rsid w:val="57C42822"/>
    <w:rsid w:val="58005AB9"/>
    <w:rsid w:val="5A6A5FBA"/>
    <w:rsid w:val="5BB85E06"/>
    <w:rsid w:val="5CD00FC7"/>
    <w:rsid w:val="5CE35FFF"/>
    <w:rsid w:val="60C75221"/>
    <w:rsid w:val="62365C6E"/>
    <w:rsid w:val="63765447"/>
    <w:rsid w:val="65376CE7"/>
    <w:rsid w:val="6BE807F9"/>
    <w:rsid w:val="6F3629B8"/>
    <w:rsid w:val="6F696C2D"/>
    <w:rsid w:val="72120D47"/>
    <w:rsid w:val="729F6337"/>
    <w:rsid w:val="7325596B"/>
    <w:rsid w:val="78CC7878"/>
    <w:rsid w:val="79C127A1"/>
    <w:rsid w:val="7B2865C7"/>
    <w:rsid w:val="7B864B36"/>
    <w:rsid w:val="7C325581"/>
    <w:rsid w:val="7CAD206A"/>
    <w:rsid w:val="7E286A41"/>
    <w:rsid w:val="7E696E01"/>
    <w:rsid w:val="7EA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749C7"/>
  <w15:docId w15:val="{13DF90F6-C50A-4623-86DD-15160AA0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qFormat/>
    <w:pPr>
      <w:keepNext/>
      <w:widowControl w:val="0"/>
      <w:numPr>
        <w:ilvl w:val="3"/>
        <w:numId w:val="1"/>
      </w:numPr>
      <w:shd w:val="clear" w:color="auto" w:fill="FFFFFF"/>
      <w:autoSpaceDE w:val="0"/>
      <w:spacing w:before="1762" w:after="0" w:line="240" w:lineRule="auto"/>
      <w:jc w:val="center"/>
      <w:outlineLvl w:val="3"/>
    </w:pPr>
    <w:rPr>
      <w:rFonts w:ascii="Arial" w:eastAsia="SimSun" w:hAnsi="Arial" w:cs="Times New Roman"/>
      <w:b/>
      <w:bCs/>
      <w:color w:val="000000"/>
      <w:sz w:val="24"/>
      <w:szCs w:val="24"/>
      <w:lang w:eastAsia="ar-SA"/>
    </w:rPr>
  </w:style>
  <w:style w:type="paragraph" w:styleId="5">
    <w:name w:val="heading 5"/>
    <w:basedOn w:val="a1"/>
    <w:next w:val="a1"/>
    <w:link w:val="50"/>
    <w:qFormat/>
    <w:pPr>
      <w:keepNext/>
      <w:widowControl w:val="0"/>
      <w:numPr>
        <w:ilvl w:val="4"/>
        <w:numId w:val="1"/>
      </w:numPr>
      <w:shd w:val="clear" w:color="auto" w:fill="FFFFFF"/>
      <w:autoSpaceDE w:val="0"/>
      <w:spacing w:after="0" w:line="240" w:lineRule="auto"/>
      <w:ind w:left="0" w:firstLine="709"/>
      <w:jc w:val="center"/>
      <w:outlineLvl w:val="4"/>
    </w:pPr>
    <w:rPr>
      <w:rFonts w:ascii="Times New Roman" w:eastAsia="SimSun" w:hAnsi="Times New Roman" w:cs="Times New Roman"/>
      <w:b/>
      <w:bCs/>
      <w:color w:val="000000"/>
      <w:spacing w:val="-2"/>
      <w:w w:val="82"/>
      <w:sz w:val="40"/>
      <w:szCs w:val="40"/>
      <w:lang w:eastAsia="ar-SA"/>
    </w:rPr>
  </w:style>
  <w:style w:type="paragraph" w:styleId="7">
    <w:name w:val="heading 7"/>
    <w:basedOn w:val="a1"/>
    <w:next w:val="a1"/>
    <w:link w:val="70"/>
    <w:qFormat/>
    <w:pPr>
      <w:keepNext/>
      <w:widowControl w:val="0"/>
      <w:numPr>
        <w:ilvl w:val="6"/>
        <w:numId w:val="1"/>
      </w:numPr>
      <w:shd w:val="clear" w:color="auto" w:fill="FFFFFF"/>
      <w:autoSpaceDE w:val="0"/>
      <w:spacing w:after="0" w:line="240" w:lineRule="auto"/>
      <w:ind w:left="0" w:firstLine="709"/>
      <w:jc w:val="right"/>
      <w:outlineLvl w:val="6"/>
    </w:pPr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1"/>
    <w:link w:val="a8"/>
    <w:qFormat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Number"/>
    <w:basedOn w:val="a1"/>
    <w:uiPriority w:val="99"/>
    <w:unhideWhenUsed/>
    <w:qFormat/>
    <w:pPr>
      <w:numPr>
        <w:numId w:val="2"/>
      </w:numPr>
    </w:pPr>
  </w:style>
  <w:style w:type="paragraph" w:styleId="a9">
    <w:name w:val="Normal (Web)"/>
    <w:basedOn w:val="a1"/>
    <w:uiPriority w:val="99"/>
    <w:unhideWhenUsed/>
    <w:qFormat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styleId="aa">
    <w:name w:val="Emphasis"/>
    <w:qFormat/>
    <w:rPr>
      <w:rFonts w:ascii="Times New Roman" w:hAnsi="Times New Roman" w:cs="Times New Roman"/>
      <w:spacing w:val="0"/>
      <w:sz w:val="28"/>
    </w:rPr>
  </w:style>
  <w:style w:type="character" w:styleId="ab">
    <w:name w:val="Hyperlink"/>
    <w:basedOn w:val="a2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3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qFormat/>
    <w:rPr>
      <w:rFonts w:ascii="Arial" w:eastAsia="SimSun" w:hAnsi="Arial" w:cs="Times New Roman"/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50">
    <w:name w:val="Заголовок 5 Знак"/>
    <w:basedOn w:val="a2"/>
    <w:link w:val="5"/>
    <w:qFormat/>
    <w:rPr>
      <w:rFonts w:ascii="Times New Roman" w:eastAsia="SimSun" w:hAnsi="Times New Roman" w:cs="Times New Roman"/>
      <w:b/>
      <w:bCs/>
      <w:color w:val="000000"/>
      <w:spacing w:val="-2"/>
      <w:w w:val="82"/>
      <w:sz w:val="40"/>
      <w:szCs w:val="40"/>
      <w:shd w:val="clear" w:color="auto" w:fill="FFFFFF"/>
      <w:lang w:eastAsia="ar-SA"/>
    </w:rPr>
  </w:style>
  <w:style w:type="character" w:customStyle="1" w:styleId="70">
    <w:name w:val="Заголовок 7 Знак"/>
    <w:basedOn w:val="a2"/>
    <w:link w:val="7"/>
    <w:qFormat/>
    <w:rPr>
      <w:rFonts w:ascii="Times New Roman" w:eastAsia="SimSu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paragraph" w:customStyle="1" w:styleId="21">
    <w:name w:val="Основной текст 21"/>
    <w:basedOn w:val="a1"/>
    <w:qFormat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11">
    <w:name w:val="Абзац списка1"/>
    <w:basedOn w:val="a1"/>
    <w:uiPriority w:val="34"/>
    <w:qFormat/>
    <w:pPr>
      <w:ind w:left="720"/>
      <w:contextualSpacing/>
    </w:pPr>
  </w:style>
  <w:style w:type="character" w:customStyle="1" w:styleId="a6">
    <w:name w:val="Заголовок Знак"/>
    <w:basedOn w:val="a2"/>
    <w:link w:val="a5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uiPriority w:val="99"/>
    <w:qFormat/>
    <w:pPr>
      <w:widowControl w:val="0"/>
      <w:spacing w:before="20" w:after="0" w:line="240" w:lineRule="auto"/>
      <w:ind w:left="11720" w:right="18600"/>
    </w:pPr>
    <w:rPr>
      <w:rFonts w:eastAsia="Times New Roman"/>
      <w:b/>
      <w:i/>
      <w:sz w:val="48"/>
    </w:rPr>
  </w:style>
  <w:style w:type="character" w:customStyle="1" w:styleId="10">
    <w:name w:val="Заголовок 1 Знак"/>
    <w:basedOn w:val="a2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8">
    <w:name w:val="Нижний колонтитул Знак"/>
    <w:basedOn w:val="a2"/>
    <w:link w:val="a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2">
    <w:name w:val="Обычный текст1"/>
    <w:basedOn w:val="a1"/>
    <w:link w:val="ad"/>
    <w:qFormat/>
    <w:pPr>
      <w:spacing w:after="0" w:line="240" w:lineRule="auto"/>
      <w:ind w:left="170" w:firstLine="73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текст Знак"/>
    <w:link w:val="12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1"/>
    <w:uiPriority w:val="34"/>
    <w:qFormat/>
    <w:pPr>
      <w:ind w:left="720"/>
      <w:contextualSpacing/>
    </w:pPr>
  </w:style>
  <w:style w:type="paragraph" w:customStyle="1" w:styleId="a">
    <w:name w:val="Нумерованный"/>
    <w:basedOn w:val="a1"/>
    <w:qFormat/>
    <w:pPr>
      <w:numPr>
        <w:numId w:val="3"/>
      </w:numPr>
      <w:spacing w:before="60" w:after="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D02AEA-7D94-44F0-9908-CDDA23F4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«Гостиничный комплекс»</vt:lpstr>
    </vt:vector>
  </TitlesOfParts>
  <Company>Microsoft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«Гостиничный комплекс»</dc:title>
  <dc:creator>home</dc:creator>
  <cp:lastModifiedBy>Dmitriev Andrey</cp:lastModifiedBy>
  <cp:revision>20</cp:revision>
  <dcterms:created xsi:type="dcterms:W3CDTF">2019-03-21T05:43:00Z</dcterms:created>
  <dcterms:modified xsi:type="dcterms:W3CDTF">2024-04-04T13:56:00Z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