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4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>Техническое задание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на выполнение полного комплекса работ по устройству  фасадов зданий Флигелей в/о 1-4 между осями Б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,</w:t>
      </w:r>
      <w:r>
        <w:rPr>
          <w:rFonts w:ascii="Times New Roman" w:hAnsi="Times New Roman"/>
          <w:b/>
          <w:bCs/>
          <w:sz w:val="21"/>
          <w:szCs w:val="21"/>
        </w:rPr>
        <w:t>- Г/3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 xml:space="preserve">, </w:t>
      </w:r>
      <w:r>
        <w:rPr>
          <w:rFonts w:ascii="Times New Roman" w:hAnsi="Times New Roman"/>
          <w:b/>
          <w:bCs/>
          <w:sz w:val="21"/>
          <w:szCs w:val="21"/>
        </w:rPr>
        <w:t>(Е) в рамках строительства Объекта: «Реконструкция производственных корпусов бывшей табачной фабрики «Нево–Табак» с целью приспособления для современного использования (многоквартирный жилой комплекс «Олимпия») на земельном участке с кадастровым номером 78:32:0001635:17 по адресу: г.Санкт-Петербург, Клинский проспект, дом 25, лит. А»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6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комплекс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«Олимпия»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Район, пункт проведения работ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Санкт-Петербург, Клинский проспект, дом 25, лит.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объекта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со встроенными помещениями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Застройщик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«Клинский 25»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Технический заказчик/Генподрядчик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"КЕСКО"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для проведения работ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Субподряда.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Сроки выполнения работ</w:t>
            </w:r>
          </w:p>
        </w:tc>
        <w:tc>
          <w:tcPr>
            <w:tcW w:w="6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 ноября 2023 по май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объем выполняемых работ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Работы выполняются в соответствии с требованиями действующих строительных норм и правил, правил ТБ и других документов регулирующих строительство объектов;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Вопросы взаимодействия Генподрядчика и Субподрядчика регулируются договором на выполнение работ и законодательством РФ;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проводит весь комплекс необходимых работ согласно переданного проекта  и согласно настоящему Техническому заданию;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поставляет материалы в количестве и номенклатуре по согласованию с Генподрядчиком.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5.До начала производства работ Субподрядчик должен предоставить Генеральному подрядчику график производства работ, технологические карты производства работ, приказы на ответственных лиц за технику безопасности.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работ определяется Рабочей документацией:</w:t>
            </w:r>
          </w:p>
          <w:p>
            <w:pPr>
              <w:pStyle w:val="9"/>
              <w:tabs>
                <w:tab w:val="left" w:pos="600"/>
              </w:tabs>
              <w:autoSpaceDE w:val="0"/>
              <w:autoSpaceDN w:val="0"/>
              <w:spacing w:before="0" w:beforeAutospacing="0" w:after="0" w:afterAutospacing="0" w:line="259" w:lineRule="auto"/>
              <w:rPr>
                <w:rFonts w:ascii="Verdana" w:hAnsi="Verdana" w:cs="Tahoma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Субподрядчик выполняет работы в соответствии с проектом шифр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01/05-18-АР-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Архитектурные решения,  сметным расчетом, договором, техническим заданием, СНиП, СП, ГОСТ.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Субподрядчик обязан обеспечить своевременное и качественное выполнение работ с соблюдением действующих Российских строительных норм и правил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 293.1325800.2017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«Системы фасадные теплоизоляционные композиционные с наружными штукатурными слоями»,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 71.13330.2017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«Изоляционные и отделочные покрытия»,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СНиП 12-01-2004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строительства»,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СНиП 12-03-2001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«Безопасность труда в строительстве часть 1»,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СНиП 12-04-2002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«Безопасность труда в строительстве часть 2»,</w:t>
            </w:r>
            <w:r>
              <w:rPr>
                <w:rFonts w:ascii="Times New Roman" w:hAnsi="Times New Roman" w:eastAsia="TheSansBPlus-W3Light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heSansBPlus-W3Light" w:cs="Times New Roman"/>
                <w:b/>
                <w:bCs/>
                <w:sz w:val="18"/>
                <w:szCs w:val="18"/>
              </w:rPr>
              <w:t>Федеральный закон от 22 июля 2008 года №123-ФЗ</w:t>
            </w:r>
            <w:r>
              <w:rPr>
                <w:rFonts w:ascii="Times New Roman" w:hAnsi="Times New Roman" w:eastAsia="TheSansBPlus-W3Light" w:cs="Times New Roman"/>
                <w:sz w:val="18"/>
                <w:szCs w:val="18"/>
              </w:rPr>
              <w:t xml:space="preserve"> ≪≪Технический регламент о требованиях пожарной безопасности≫,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 58239148–001–2006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СИСТЕМЫ НАРУЖНОЙ ТЕПЛОИЗОЛЯЦИИ СТЕН ЗДАНИЙ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ППБ 05-86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«Правила пожарной безопасности при производстве строительно-монтажных работ» и др.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Разработанным и согласованным Генподрядчиком проектом производства работ и технических карт на специальные виды работ;</w:t>
            </w:r>
          </w:p>
          <w:p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Разработанным и согласованным Генподрядчиком проектом производства работ и технических карт на специальные виды работ: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ТК на устройство литых лепных декоративных элементов фасада;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ТК на штукатурные работы.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Разработанным на основании разделов Рабочей документации раздела КМД проекта, соответствующего требованиям нормативно-технической документации;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работ по устройству фасада должен включать в себя следующие работы: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Входной контроль рабочей документации;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Разработка и согласование с Техническим заказчиком, Генподрядчиком: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ППР;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Доставка на объект строительства, разгрузка и разноска оборудования и материалов к месту производства работ;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Все монтажные работы в том числе устройство узлов примыканий и устройство оконных и дверных откосов включая оштукатуривание оконных четвертей;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Устройство строительных инвентарных лесов с разработкой технической карты и указанием стадийности производства работ;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При установке строительных инвентарных лесов для производства работ со стороны примыканий к смежным зданиям необходимо предусмотреть комплекс мероприятий  по сохранности кровель этих зданий, разработать техническую карту;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При необходимости работы с применением фасадных люлек данное оборудование должно быть зарегистрировано и поставлено на учёт в Ростехнадзоре;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При производстве работ руководствоваться техническими регламентами устройства штукатурных фасадов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Ceresit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применяемой системы: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Ceresit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составе: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Штукатурно-клеевой состав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180;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Армирующий слой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190;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Грунт СТ 16;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Декоративная штукатурка СТ 137;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Фасадная краска СТ 48 или СТ 54 по согласованию с Генподрядчиком.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Разработка инструкции по эксплуатации штукатурного фасада;</w:t>
            </w:r>
          </w:p>
          <w:p>
            <w:pPr>
              <w:pStyle w:val="27"/>
              <w:tabs>
                <w:tab w:val="left" w:pos="0"/>
                <w:tab w:val="left" w:pos="440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Геодезическая разбивка;</w:t>
            </w:r>
          </w:p>
          <w:p>
            <w:pPr>
              <w:pStyle w:val="27"/>
              <w:tabs>
                <w:tab w:val="left" w:pos="0"/>
                <w:tab w:val="left" w:pos="440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Работы по подготовке основания под теплоизоляцию;</w:t>
            </w:r>
          </w:p>
          <w:p>
            <w:pPr>
              <w:pStyle w:val="27"/>
              <w:tabs>
                <w:tab w:val="left" w:pos="0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Защита светопрозрачных конструкций (окон, витражей) п/э пленкой от загрязнения и повреждений;</w:t>
            </w:r>
          </w:p>
          <w:p>
            <w:pPr>
              <w:pStyle w:val="27"/>
              <w:tabs>
                <w:tab w:val="left" w:pos="0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  Монтаж теплоизоляции (дюбелирование);</w:t>
            </w:r>
          </w:p>
          <w:p>
            <w:pPr>
              <w:pStyle w:val="27"/>
              <w:tabs>
                <w:tab w:val="left" w:pos="0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 Устройство узлов примыканий (к кровле,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 соседним зданиям,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штукатурному фасаду и др).;</w:t>
            </w:r>
          </w:p>
          <w:p>
            <w:pPr>
              <w:pStyle w:val="27"/>
              <w:tabs>
                <w:tab w:val="left" w:pos="0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Защита штукатурного фасада от загрязнений поверхностей и повреждений до момента передачи фасадов в эксплуатацию по акту.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наличию опыта производства работ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референций по выполнению СМР, указанных в п.1 настоящего технического задания.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Наличие лицензии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МЧС;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наличию материально-технических ресурсов (МТР)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должен иметь достаточное для исполнения договора в исправном состоянии количество МТР (машин и механизмов, специальных приспособлений и инструментов) для выполнения работ указанных в пункте 8. настоящего технического задания.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Требование к обеспечению кадровыми ресурсами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должен иметь достаточное для исполнения договора количество кадровых ресурсов соответствующей квалификации.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Субподрядчику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подтверждает, что переданной документации и проведённых, до заключения договора, геодезических замеров, проведённых службой подрядчика, достаточно для окончательного определения объёмов  и расчёта общей стоимости работ.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-Каждый вид работ, предусмотренный настоящим Договором должен быть завершён полностью, если в ходе исполнения договора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будет предъявлен к оплате больший объём работы, чем это предусмотрено настоящим договором, по причине превышения объёмов относится полностью за счёт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подтверждает наличие опыта выполнения работ, указанных в пункте 8 настоящего ТЗ  не менее 3-х лет.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подтверждает наличие членства СРО для выполнения вышеуказанных работ.  </w:t>
            </w:r>
          </w:p>
          <w:p>
            <w:pPr>
              <w:spacing w:after="0" w:line="240" w:lineRule="auto"/>
              <w:ind w:left="440" w:leftChars="200" w:right="-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обязан выполнять работы в соответствии с: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Проектной и рабочей документацией;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Разработанным графиком производства работ, согласованным с Генподрядчиком;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ППР и технологическими картами;</w:t>
            </w:r>
          </w:p>
          <w:p>
            <w:pPr>
              <w:numPr>
                <w:ilvl w:val="0"/>
                <w:numId w:val="4"/>
              </w:numPr>
              <w:tabs>
                <w:tab w:val="left" w:pos="480"/>
              </w:tabs>
              <w:spacing w:after="0" w:line="240" w:lineRule="auto"/>
              <w:ind w:left="360" w:hanging="360" w:hanging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 и СТО заводов изготовителей материалов, конструкций, изделий и т.д.</w:t>
            </w: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 Выполнение исполнительной геодезической съемки.</w:t>
            </w: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отклонения:</w:t>
            </w: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Отклонения поверхностей и углов фасада от вертикали на 1 этаж: не более 5мм.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Отклонения поверхностей и углов фасада от вертикали на всю высоту здания не более 30мм.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Отклонения горизонтальных плоскостей на 10 м длины стены не более 15 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Число неровностей (плавного очертания) при накладывании рейки длиной 2м: не более 2-х.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Неровности (плавного очертания) обнаруженные при накладывании рейки длиной 2 м по глубине не более 3 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Отклонение между плитами по толщине не должно превышать 3 мм;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Смещение вертикальных осей оконных проемов от вертикали не более 20 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Отклонения ширины проемов не более (+) 15 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Отметки опорных поверхностей и низа оконных проемов не более (-) 10 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Ширина нахлестки полотнищ арматурной сетки не менее 100 мм.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Не допускаются: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Сквозные отверстия, не предусмотренные проектом.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Наплывы раствора на поверхности. 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Предметы торчащие плоскости стены (не предусмотренные проектом), а также элементы армирования.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Сколы по углам и поверхности фасада.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 прокрашенные участки.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Участки фасада одного цвета, имеющие отличие в оттенках краски.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Расплывчатые границы на стыке участков фасада различных цветов.</w:t>
            </w:r>
          </w:p>
          <w:p>
            <w:pPr>
              <w:pStyle w:val="27"/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Производить работы при отсутствии искусственных защитных покрытий рабочего места работы при следующих обстоятельствах: при окружающей температуре ниже +5 °С, на ярко освещенных солнцем поверхностях, при сильном ветре, при попадании дождевой влаги на поверхность стены.</w:t>
            </w: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Работы выполняются в строгом соответствии с технологией и материалами, согласованными с Генподрядчиком .</w:t>
            </w:r>
          </w:p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sans-serif" w:cs="Times New Roman"/>
                <w:sz w:val="18"/>
                <w:szCs w:val="18"/>
              </w:rPr>
            </w:pP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eastAsia="zh-CN"/>
              </w:rPr>
              <w:t xml:space="preserve"> Отделка откосов производится в соответствии с размерами дверей и окон</w:t>
            </w:r>
          </w:p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sans-serif" w:cs="Times New Roman"/>
                <w:sz w:val="18"/>
                <w:szCs w:val="18"/>
              </w:rPr>
            </w:pP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eastAsia="zh-CN"/>
              </w:rPr>
              <w:t>по месту.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 w:cs="Times New Roman"/>
                <w:sz w:val="18"/>
                <w:szCs w:val="18"/>
              </w:rPr>
            </w:pP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eastAsia="zh-CN"/>
              </w:rPr>
              <w:t xml:space="preserve">    Минераловатные плиты крепить к несущей стене с помощью специального клея и тарельчатых дюбелей. Дюбели для крепления теплоизоляции устанавливать после полного высыхания клея. Плиты выравнивать по высоте относительно друг друга, по горизонтали и по отношению к несущей стене.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 w:cs="Times New Roman"/>
                <w:sz w:val="18"/>
                <w:szCs w:val="18"/>
              </w:rPr>
            </w:pP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eastAsia="zh-CN"/>
              </w:rPr>
              <w:t xml:space="preserve">Минераловатные плиты в углах проемов должны быть цельными, с вырезанными по месту фрагментами. </w:t>
            </w: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val="en-US" w:eastAsia="zh-CN"/>
              </w:rPr>
              <w:t xml:space="preserve">На линиях углов проемов </w:t>
            </w: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val="en-US" w:eastAsia="zh-CN"/>
              </w:rPr>
              <w:t xml:space="preserve">стыковать </w:t>
            </w: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eastAsia="zh-CN"/>
              </w:rPr>
              <w:t xml:space="preserve">минераловатные </w:t>
            </w:r>
            <w:r>
              <w:rPr>
                <w:rFonts w:ascii="Times New Roman" w:hAnsi="Times New Roman" w:eastAsia="sans-serif" w:cs="Times New Roman"/>
                <w:sz w:val="18"/>
                <w:szCs w:val="18"/>
                <w:shd w:val="clear" w:color="auto" w:fill="FFFFFF"/>
                <w:lang w:val="en-US" w:eastAsia="zh-CN"/>
              </w:rPr>
              <w:t xml:space="preserve"> плиты не допускается</w:t>
            </w:r>
          </w:p>
          <w:p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содержанию площадки</w:t>
            </w:r>
          </w:p>
        </w:tc>
        <w:tc>
          <w:tcPr>
            <w:tcW w:w="6202" w:type="dxa"/>
          </w:tcPr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обязан содержать площадку в чистоте. В процессе производства работ систематическая уборка площади от отходов строительного производства, вывоз мусора в специально отведенные места складирования бытовых отходов и строительного мусора осуществляется Субподрядчиком.</w:t>
            </w: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Генподрядчик обеспечивает наличие на объекте ВРУ для подключения электроинструмента и оборудования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организует при необходимости дополнительное освещение собственными силами.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Требование к технике безопасности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требований безопасности лежит в полном объёме на подрядчике.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исполнительной документации на объекте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 11-02-2006, РД 11-05-2007, приказ Ростехнадзора № 1128 от 26.12.2006 г. и передать Генподрядчику по окончании СМР;</w:t>
            </w:r>
          </w:p>
          <w:p>
            <w:pPr>
              <w:pStyle w:val="9"/>
              <w:tabs>
                <w:tab w:val="left" w:pos="600"/>
                <w:tab w:val="left" w:pos="1276"/>
                <w:tab w:val="left" w:pos="10206"/>
              </w:tabs>
              <w:autoSpaceDE w:val="0"/>
              <w:autoSpaceDN w:val="0"/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На оборудования, материалы, изделия и конструкции импортного производства кроме паспортов и сертификатов качества предоставить сертификаты соответствия для применения на территории Российской Федерации. Своими силами и за свой счёт до начала выполнения работ получить и поддерживать в силе в течение всего срока производства работ все свидетельства, сертификаты, разрешения государственных органов, необходимые для надлежащего выполнения работ.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На все оборудования, материалы, изделия и конструкции представить: паспорта, сертификаты соответствия, сертификаты пожарной безопасности, санитарно-эпидемиологические заключение, гигиенические характеристики или отказные письма, если определённый вид материала не подлежит обязательной сертификации, действующие на момент производства работ;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При формировании актов выполненных работ по форме (КС-2), в случаях, когда в сметной документации стоимость оборудования, материалов, изделий и конструкций определены на основании прайс-листов и коммерческих предложений заводов изготовителей, а также официальных поставщиков, необходимо предоставлять счёт-фактуру от завода-изготовителя или официального поставщика, товарную накладную, договор поставки, не выше стоимости указанной в сметной документации;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По выполнению работ предоставить четыре сброшюрованных экземпляра исполнительной документации на бумажном носителе в составе: Титульный лист, реестр, СРО, приказы на ответственных лиц, акты, исполнительные схемы, сертификаты, паспорта, результаты лабораторных испытаний и т.д.;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Дополнительно: электронную версию исполнительной документации в AutoCad формат (*.dwg), реестр исполнительной документации в формате Excel. Акты в формате Word.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Приёмка  выполненных работ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-Подрядчик обязан предоставить Генподрядчику КС-2, КС-3, с предварительным подтверждением формами КС-6, исполнительной документацией в полном объёме и подписанную всеми представителями, участвующими в строительстве;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-Одновременно с  актом выполненных работ (КС-2)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передаёт Генподрядчику технические акты приёмки выполненных работ, исполнительные схемы и чертежи, паспорта на оборудование и материалы;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Вывезти и утилизировать весь строительный мусор с предоставлением отчётных документов (справки об утилизации, ТТН на перевозку строительного мусора);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Обеспечить комплектность поставляемых материалов и изделий;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Приёмка работ осуществляется посредством проведения проверки выполненных строительно-монтажных работ на соответствие требованиям законодательных, правовых и нормативных актов, настоящего технического задания и проектной документации. Выполненные строительно-монтажные работы оформляются актами приема-передачи материалов и оборудования, актами скрытых работ, актами выполненных работ;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Гарантия качества выполняемых работ, в том числе на используемые оборудование и материалы, предоставляется в полном объеме с соблюдением технологии производства, действующих норм и правил на период не менее 60 месяцев  (5 лет) после подписания Окончательного  акта приемки выполненных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1"/>
                <w:b/>
                <w:sz w:val="18"/>
                <w:szCs w:val="18"/>
              </w:rPr>
              <w:t>Особые условия выполнения работ:</w:t>
            </w:r>
          </w:p>
        </w:tc>
        <w:tc>
          <w:tcPr>
            <w:tcW w:w="6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Перед началом производства работ: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провести входной контроль документации;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провести проверку соответствия спецификации чертежам.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 процессе производства работ: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информировать Генподрядчика обо всех возможных отклонениях от проекта;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согласовать отклонения от проекта с проектировщиком, с письменного согласия Генподрядчика;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уведомлять Генподрядчика о предъявлении работ в письменной форме за 3-е суток.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Все дополнительные работы связанные: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 недоработками в проекте;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 выявленными в процессе производства работ несоответствиями чертежей и спецификаций;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 изменениями, вносимыми в проект в процессе выполнения работ по инициативе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 вызовом и предъявлением выполненных работ госорганам и инспекциям;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 устранением замечаний контролирующих органов;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 с уборкой территории на месте производства строительно-монтажных работ выполняются за счёт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работ включает в себя оплату всех счетов инженерных ведомств и контролирующих органов, договоров на технический надзор, проведение лабораторных анализов и необходимых испытаний.</w:t>
            </w:r>
          </w:p>
          <w:p>
            <w:pPr>
              <w:pStyle w:val="28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Требования по ОТиТБ: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Обеспечить безопасное производство работ;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Направлять персонал, привлекаемый для выполнения работ на территории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Заказчика, на вводный инструктаж к ответственному за проведение вводного инструктажа  до начала проведения работ на территории Заказчика;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Разработать, при необходимости, дополнительные меры по обеспечению безопасных условий труда и выполнять их в процессе работы;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Выполнить мероприятия по обеспечению безопасных условий труда, предусмотренных Актом-допуском;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Выполнять работы силами подготовленного и аттестованного персонала, не имеющих медицинских противопоказаний к выполняемой работе;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Назначить лиц, ответственных за обеспечение охраны труда, пожарной безопасности, электробезопасности и промышленной безопасности;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Организовать допуск персонала к работам, в том числе зонах постоянно или потенциально опасных производственных факторов;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Обеспечить своих работников исправными средствами индивидуальной и коллективной защиты и контролировать правильное их применение;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Содержать производственные территории, участки работ и рабочие места, предоставляемые для производства договорных работ, в чистоте и порядке;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Обеспечить сохранность установленных на месте работы ограждений, знаков безопасности, запирающих устройств;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11.Обеспечить исправное техническое состояние и безопасную эксплуатацию оборудования, электроинструмента, технологической оснастки, строительных и монтажных машин, механизмов и приборов;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12.Обеспечить необходимые условия для проведения проверок безопасности организации работ должностными лицами Заказчика;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13.Обеспечить разработку и выполнение мероприятий по устранению замечаний комиссий Заказчика;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14.Обеспечивать ограждение зоны возникновения временных опасностей во время проведения строительно-монтажных работ сигнальной лентой;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15.Укомплектовывать рабочие места, опасные во взрыво- или пожарном отношении, первичными средствами пожаротушения и средствами контроля и оперативного оповещения об угрожающей ситуации;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 Не допускать накапливания на площадках горючих веществ (жирные масляные тряпки, опилки или стружки и отходы пластмасс), организовывать их хранение в закрытых металлических контейнерах в безопасном месте;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 Все электропусковые устройства размещать таким образом, чтобы исключалась возможность пуска машин, механизмов и оборудования посторонними лицами.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18. Обеспечить безопасность работ, указав границы опасной зоны – 3 метра от стен;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19. На обозначенной зоне разместить все оборудование и материалы, а также организовать место для сборки конструкции;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220"/>
                <w:tab w:val="left" w:pos="440"/>
                <w:tab w:val="clear" w:pos="360"/>
              </w:tabs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20. Не допускать проведения работ при неподходящих погодных условиях (при сильном ветре или низких температурах)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ind w:firstLine="220" w:firstLineChars="122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sectPr>
      <w:pgSz w:w="11906" w:h="16838"/>
      <w:pgMar w:top="1134" w:right="850" w:bottom="1134" w:left="15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heSansBPlus-W3Light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01A14B3"/>
    <w:multiLevelType w:val="multilevel"/>
    <w:tmpl w:val="301A14B3"/>
    <w:lvl w:ilvl="0" w:tentative="0">
      <w:start w:val="2"/>
      <w:numFmt w:val="decimal"/>
      <w:pStyle w:val="28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">
    <w:nsid w:val="5C470048"/>
    <w:multiLevelType w:val="singleLevel"/>
    <w:tmpl w:val="5C4700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</w:rPr>
    </w:lvl>
  </w:abstractNum>
  <w:abstractNum w:abstractNumId="3">
    <w:nsid w:val="620A5F46"/>
    <w:multiLevelType w:val="singleLevel"/>
    <w:tmpl w:val="620A5F46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64DDE59E"/>
    <w:multiLevelType w:val="singleLevel"/>
    <w:tmpl w:val="64DDE59E"/>
    <w:lvl w:ilvl="0" w:tentative="0">
      <w:start w:val="1"/>
      <w:numFmt w:val="decimal"/>
      <w:pStyle w:val="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64DDF622"/>
    <w:multiLevelType w:val="singleLevel"/>
    <w:tmpl w:val="64DDF6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72A27"/>
    <w:rsid w:val="00041E0C"/>
    <w:rsid w:val="00046883"/>
    <w:rsid w:val="000717E5"/>
    <w:rsid w:val="00172A27"/>
    <w:rsid w:val="001974DA"/>
    <w:rsid w:val="001B176D"/>
    <w:rsid w:val="00230BCF"/>
    <w:rsid w:val="00247BEC"/>
    <w:rsid w:val="002530A6"/>
    <w:rsid w:val="00276905"/>
    <w:rsid w:val="003C04D8"/>
    <w:rsid w:val="003C349F"/>
    <w:rsid w:val="003E1C09"/>
    <w:rsid w:val="00446A15"/>
    <w:rsid w:val="00462117"/>
    <w:rsid w:val="00467867"/>
    <w:rsid w:val="00495E06"/>
    <w:rsid w:val="0050747E"/>
    <w:rsid w:val="0051317E"/>
    <w:rsid w:val="00547347"/>
    <w:rsid w:val="00584AAF"/>
    <w:rsid w:val="00592104"/>
    <w:rsid w:val="005A0DEF"/>
    <w:rsid w:val="005D5351"/>
    <w:rsid w:val="005F56F4"/>
    <w:rsid w:val="006836C6"/>
    <w:rsid w:val="00731630"/>
    <w:rsid w:val="00763BEE"/>
    <w:rsid w:val="007C4AB7"/>
    <w:rsid w:val="007F0D2D"/>
    <w:rsid w:val="008030A3"/>
    <w:rsid w:val="00851F36"/>
    <w:rsid w:val="008A4863"/>
    <w:rsid w:val="008A5465"/>
    <w:rsid w:val="008E4F4D"/>
    <w:rsid w:val="008F738E"/>
    <w:rsid w:val="009376B7"/>
    <w:rsid w:val="00953CD2"/>
    <w:rsid w:val="00967F06"/>
    <w:rsid w:val="00974AB5"/>
    <w:rsid w:val="00991755"/>
    <w:rsid w:val="009C6D5F"/>
    <w:rsid w:val="00A110A3"/>
    <w:rsid w:val="00A23DE6"/>
    <w:rsid w:val="00A35C73"/>
    <w:rsid w:val="00A70BF8"/>
    <w:rsid w:val="00A74EE3"/>
    <w:rsid w:val="00A96B29"/>
    <w:rsid w:val="00B13430"/>
    <w:rsid w:val="00B409E2"/>
    <w:rsid w:val="00B52009"/>
    <w:rsid w:val="00B67471"/>
    <w:rsid w:val="00B77F5F"/>
    <w:rsid w:val="00B95214"/>
    <w:rsid w:val="00BB453F"/>
    <w:rsid w:val="00C140B7"/>
    <w:rsid w:val="00C24148"/>
    <w:rsid w:val="00CB1423"/>
    <w:rsid w:val="00CD3585"/>
    <w:rsid w:val="00D73DD6"/>
    <w:rsid w:val="00D81EE3"/>
    <w:rsid w:val="00DB6DBC"/>
    <w:rsid w:val="00DC6329"/>
    <w:rsid w:val="00E54718"/>
    <w:rsid w:val="00E664D7"/>
    <w:rsid w:val="00E82EE5"/>
    <w:rsid w:val="00E9579A"/>
    <w:rsid w:val="00F90DB2"/>
    <w:rsid w:val="00F94992"/>
    <w:rsid w:val="00FE3A2A"/>
    <w:rsid w:val="00FF5CDB"/>
    <w:rsid w:val="01FC7B97"/>
    <w:rsid w:val="05DC4518"/>
    <w:rsid w:val="0D5F1094"/>
    <w:rsid w:val="0D92490D"/>
    <w:rsid w:val="0E7A005D"/>
    <w:rsid w:val="0F2844C3"/>
    <w:rsid w:val="115B71DA"/>
    <w:rsid w:val="11620DBD"/>
    <w:rsid w:val="136C20C7"/>
    <w:rsid w:val="13D02C92"/>
    <w:rsid w:val="146C6EC3"/>
    <w:rsid w:val="15DA0973"/>
    <w:rsid w:val="179014B4"/>
    <w:rsid w:val="18C04485"/>
    <w:rsid w:val="1B89415A"/>
    <w:rsid w:val="1BC82D1A"/>
    <w:rsid w:val="1C052C02"/>
    <w:rsid w:val="1C7724DC"/>
    <w:rsid w:val="1E822E1C"/>
    <w:rsid w:val="20C030B2"/>
    <w:rsid w:val="20C14309"/>
    <w:rsid w:val="20D00CE2"/>
    <w:rsid w:val="23A01950"/>
    <w:rsid w:val="27DC1E69"/>
    <w:rsid w:val="2A647068"/>
    <w:rsid w:val="2B184F2B"/>
    <w:rsid w:val="2B4059D0"/>
    <w:rsid w:val="2BB01418"/>
    <w:rsid w:val="2E2906E3"/>
    <w:rsid w:val="2FE345B4"/>
    <w:rsid w:val="311D7FFF"/>
    <w:rsid w:val="32003373"/>
    <w:rsid w:val="33FB0D73"/>
    <w:rsid w:val="359724E8"/>
    <w:rsid w:val="36E23211"/>
    <w:rsid w:val="3AEA0617"/>
    <w:rsid w:val="3B2B7FFE"/>
    <w:rsid w:val="4056364C"/>
    <w:rsid w:val="40A254DC"/>
    <w:rsid w:val="426F7E2B"/>
    <w:rsid w:val="42E56C30"/>
    <w:rsid w:val="43476683"/>
    <w:rsid w:val="44665399"/>
    <w:rsid w:val="44AC451A"/>
    <w:rsid w:val="45707D91"/>
    <w:rsid w:val="46E056D8"/>
    <w:rsid w:val="47147091"/>
    <w:rsid w:val="474447B7"/>
    <w:rsid w:val="487D6788"/>
    <w:rsid w:val="48B33FB3"/>
    <w:rsid w:val="4AE92212"/>
    <w:rsid w:val="4D6A35C5"/>
    <w:rsid w:val="50063B85"/>
    <w:rsid w:val="50E761BB"/>
    <w:rsid w:val="55AD6164"/>
    <w:rsid w:val="569B0474"/>
    <w:rsid w:val="56B26877"/>
    <w:rsid w:val="56CF073A"/>
    <w:rsid w:val="57C42822"/>
    <w:rsid w:val="58005AB9"/>
    <w:rsid w:val="5A6A5FBA"/>
    <w:rsid w:val="5BB85E06"/>
    <w:rsid w:val="5CD00FC7"/>
    <w:rsid w:val="5CE35FFF"/>
    <w:rsid w:val="60C75221"/>
    <w:rsid w:val="62365C6E"/>
    <w:rsid w:val="63765447"/>
    <w:rsid w:val="65376CE7"/>
    <w:rsid w:val="6BE807F9"/>
    <w:rsid w:val="6F3629B8"/>
    <w:rsid w:val="6F696C2D"/>
    <w:rsid w:val="72120D47"/>
    <w:rsid w:val="729F6337"/>
    <w:rsid w:val="7325596B"/>
    <w:rsid w:val="78CC7878"/>
    <w:rsid w:val="79C127A1"/>
    <w:rsid w:val="7B2865C7"/>
    <w:rsid w:val="7B864B36"/>
    <w:rsid w:val="7C325581"/>
    <w:rsid w:val="7CAD206A"/>
    <w:rsid w:val="7E286A41"/>
    <w:rsid w:val="7E696E01"/>
    <w:rsid w:val="7EAE72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4"/>
    <w:basedOn w:val="1"/>
    <w:next w:val="1"/>
    <w:link w:val="15"/>
    <w:qFormat/>
    <w:uiPriority w:val="0"/>
    <w:pPr>
      <w:keepNext/>
      <w:widowControl w:val="0"/>
      <w:numPr>
        <w:ilvl w:val="3"/>
        <w:numId w:val="1"/>
      </w:numPr>
      <w:shd w:val="clear" w:color="auto" w:fill="FFFFFF"/>
      <w:autoSpaceDE w:val="0"/>
      <w:spacing w:before="1762" w:after="0" w:line="240" w:lineRule="auto"/>
      <w:jc w:val="center"/>
      <w:outlineLvl w:val="3"/>
    </w:pPr>
    <w:rPr>
      <w:rFonts w:ascii="Arial" w:hAnsi="Arial" w:eastAsia="SimSun" w:cs="Times New Roman"/>
      <w:b/>
      <w:bCs/>
      <w:color w:val="000000"/>
      <w:sz w:val="24"/>
      <w:szCs w:val="24"/>
      <w:lang w:eastAsia="ar-SA"/>
    </w:rPr>
  </w:style>
  <w:style w:type="paragraph" w:styleId="4">
    <w:name w:val="heading 5"/>
    <w:basedOn w:val="1"/>
    <w:next w:val="1"/>
    <w:link w:val="16"/>
    <w:qFormat/>
    <w:uiPriority w:val="0"/>
    <w:pPr>
      <w:keepNext/>
      <w:widowControl w:val="0"/>
      <w:numPr>
        <w:ilvl w:val="4"/>
        <w:numId w:val="1"/>
      </w:numPr>
      <w:shd w:val="clear" w:color="auto" w:fill="FFFFFF"/>
      <w:autoSpaceDE w:val="0"/>
      <w:spacing w:after="0" w:line="240" w:lineRule="auto"/>
      <w:ind w:left="0" w:firstLine="709"/>
      <w:jc w:val="center"/>
      <w:outlineLvl w:val="4"/>
    </w:pPr>
    <w:rPr>
      <w:rFonts w:ascii="Times New Roman" w:hAnsi="Times New Roman" w:eastAsia="SimSun" w:cs="Times New Roman"/>
      <w:b/>
      <w:bCs/>
      <w:color w:val="000000"/>
      <w:spacing w:val="-2"/>
      <w:w w:val="82"/>
      <w:sz w:val="40"/>
      <w:szCs w:val="40"/>
      <w:lang w:eastAsia="ar-SA"/>
    </w:rPr>
  </w:style>
  <w:style w:type="paragraph" w:styleId="5">
    <w:name w:val="heading 7"/>
    <w:basedOn w:val="1"/>
    <w:next w:val="1"/>
    <w:link w:val="17"/>
    <w:qFormat/>
    <w:uiPriority w:val="0"/>
    <w:pPr>
      <w:keepNext/>
      <w:widowControl w:val="0"/>
      <w:numPr>
        <w:ilvl w:val="6"/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6"/>
    </w:pPr>
    <w:rPr>
      <w:rFonts w:ascii="Times New Roman" w:hAnsi="Times New Roman" w:eastAsia="SimSun" w:cs="Times New Roman"/>
      <w:b/>
      <w:bCs/>
      <w:color w:val="000000"/>
      <w:sz w:val="24"/>
      <w:szCs w:val="24"/>
      <w:lang w:eastAsia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link w:val="20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">
    <w:name w:val="footer"/>
    <w:basedOn w:val="1"/>
    <w:link w:val="23"/>
    <w:qFormat/>
    <w:uiPriority w:val="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List Number"/>
    <w:basedOn w:val="1"/>
    <w:unhideWhenUsed/>
    <w:qFormat/>
    <w:uiPriority w:val="99"/>
    <w:pPr>
      <w:numPr>
        <w:ilvl w:val="0"/>
        <w:numId w:val="2"/>
      </w:numPr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" w:hAnsi="Times" w:eastAsiaTheme="minorEastAsia"/>
      <w:sz w:val="20"/>
      <w:szCs w:val="20"/>
      <w:lang w:val="en-US"/>
    </w:rPr>
  </w:style>
  <w:style w:type="character" w:styleId="11">
    <w:name w:val="Emphasis"/>
    <w:qFormat/>
    <w:uiPriority w:val="0"/>
    <w:rPr>
      <w:rFonts w:ascii="Times New Roman" w:hAnsi="Times New Roman" w:cs="Times New Roman"/>
      <w:spacing w:val="0"/>
      <w:sz w:val="28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table" w:styleId="14">
    <w:name w:val="Table Grid"/>
    <w:basedOn w:val="1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4 Знак"/>
    <w:basedOn w:val="10"/>
    <w:link w:val="3"/>
    <w:qFormat/>
    <w:uiPriority w:val="0"/>
    <w:rPr>
      <w:rFonts w:ascii="Arial" w:hAnsi="Arial" w:eastAsia="SimSu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16">
    <w:name w:val="Заголовок 5 Знак"/>
    <w:basedOn w:val="10"/>
    <w:link w:val="4"/>
    <w:qFormat/>
    <w:uiPriority w:val="0"/>
    <w:rPr>
      <w:rFonts w:ascii="Times New Roman" w:hAnsi="Times New Roman" w:eastAsia="SimSun" w:cs="Times New Roman"/>
      <w:b/>
      <w:bCs/>
      <w:color w:val="000000"/>
      <w:spacing w:val="-2"/>
      <w:w w:val="82"/>
      <w:sz w:val="40"/>
      <w:szCs w:val="40"/>
      <w:shd w:val="clear" w:color="auto" w:fill="FFFFFF"/>
      <w:lang w:eastAsia="ar-SA"/>
    </w:rPr>
  </w:style>
  <w:style w:type="character" w:customStyle="1" w:styleId="17">
    <w:name w:val="Заголовок 7 Знак"/>
    <w:basedOn w:val="10"/>
    <w:link w:val="5"/>
    <w:qFormat/>
    <w:uiPriority w:val="0"/>
    <w:rPr>
      <w:rFonts w:ascii="Times New Roman" w:hAnsi="Times New Roman" w:eastAsia="SimSu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18">
    <w:name w:val="Основной текст 21"/>
    <w:basedOn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Times New Roman" w:cs="Times New Roman"/>
      <w:szCs w:val="20"/>
      <w:lang w:val="en-US" w:eastAsia="ru-RU"/>
    </w:rPr>
  </w:style>
  <w:style w:type="paragraph" w:customStyle="1" w:styleId="19">
    <w:name w:val="Абзац списка1"/>
    <w:basedOn w:val="1"/>
    <w:qFormat/>
    <w:uiPriority w:val="34"/>
    <w:pPr>
      <w:ind w:left="720"/>
      <w:contextualSpacing/>
    </w:pPr>
  </w:style>
  <w:style w:type="character" w:customStyle="1" w:styleId="20">
    <w:name w:val="Название Знак"/>
    <w:basedOn w:val="10"/>
    <w:link w:val="6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1">
    <w:name w:val="FR1"/>
    <w:qFormat/>
    <w:uiPriority w:val="99"/>
    <w:pPr>
      <w:widowControl w:val="0"/>
      <w:spacing w:before="20" w:after="0" w:line="240" w:lineRule="auto"/>
      <w:ind w:left="11720" w:right="18600"/>
    </w:pPr>
    <w:rPr>
      <w:rFonts w:ascii="Times New Roman" w:hAnsi="Times New Roman" w:eastAsia="Times New Roman" w:cs="Times New Roman"/>
      <w:b/>
      <w:i/>
      <w:sz w:val="48"/>
      <w:lang w:val="ru-RU" w:eastAsia="ru-RU" w:bidi="ar-SA"/>
    </w:rPr>
  </w:style>
  <w:style w:type="character" w:customStyle="1" w:styleId="22">
    <w:name w:val="Заголовок 1 Знак"/>
    <w:basedOn w:val="10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3">
    <w:name w:val="Нижний колонтитул Знак"/>
    <w:basedOn w:val="10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Обычный текст1"/>
    <w:basedOn w:val="1"/>
    <w:link w:val="26"/>
    <w:qFormat/>
    <w:uiPriority w:val="0"/>
    <w:pPr>
      <w:spacing w:after="0" w:line="240" w:lineRule="auto"/>
      <w:ind w:left="170" w:firstLine="737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Обычный текст Знак"/>
    <w:link w:val="2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Абзац списка2"/>
    <w:basedOn w:val="1"/>
    <w:qFormat/>
    <w:uiPriority w:val="34"/>
    <w:pPr>
      <w:ind w:left="720"/>
      <w:contextualSpacing/>
    </w:pPr>
  </w:style>
  <w:style w:type="paragraph" w:customStyle="1" w:styleId="28">
    <w:name w:val="Нумерованный"/>
    <w:basedOn w:val="1"/>
    <w:qFormat/>
    <w:uiPriority w:val="0"/>
    <w:pPr>
      <w:numPr>
        <w:ilvl w:val="0"/>
        <w:numId w:val="3"/>
      </w:numPr>
      <w:spacing w:before="60" w:after="60"/>
    </w:pPr>
    <w:rPr>
      <w:snapToGrid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A248C-1013-40EB-A66B-EF7E23AE1A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2477</Words>
  <Characters>14124</Characters>
  <Lines>117</Lines>
  <Paragraphs>33</Paragraphs>
  <ScaleCrop>false</ScaleCrop>
  <LinksUpToDate>false</LinksUpToDate>
  <CharactersWithSpaces>16568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2019-03-21T05:43:00Z</dcterms:created>
  <dc:creator>home</dc:creator>
  <cp:lastModifiedBy>Sheshukova Natalya</cp:lastModifiedBy>
  <dcterms:modified xsi:type="dcterms:W3CDTF">2023-08-21T13:12:59Z</dcterms:modified>
  <dc:title>«Гостиничный комплекс»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